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0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auto"/>
                <w:w w:val="99"/>
              </w:rPr>
              <w:t>WASHINGTON, D.C. 20549</w:t>
            </w:r>
          </w:p>
        </w:tc>
        <w:tc>
          <w:tcPr>
            <w:tcW w:w="0" w:type="dxa"/>
            <w:vAlign w:val="bottom"/>
          </w:tcPr>
          <w:p>
            <w:pPr>
              <w:spacing w:after="0"/>
              <w:rPr>
                <w:sz w:val="1"/>
                <w:szCs w:val="1"/>
                <w:color w:val="auto"/>
              </w:rPr>
            </w:pPr>
          </w:p>
        </w:tc>
      </w:tr>
      <w:tr>
        <w:trPr>
          <w:trHeight w:val="379"/>
        </w:trPr>
        <w:tc>
          <w:tcPr>
            <w:tcW w:w="8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960" w:type="dxa"/>
            <w:vAlign w:val="bottom"/>
          </w:tcPr>
          <w:p>
            <w:pPr>
              <w:jc w:val="center"/>
              <w:spacing w:after="0"/>
              <w:rPr>
                <w:sz w:val="20"/>
                <w:szCs w:val="20"/>
                <w:color w:val="auto"/>
              </w:rPr>
            </w:pPr>
            <w:r>
              <w:rPr>
                <w:rFonts w:ascii="Arial" w:cs="Arial" w:eastAsia="Arial" w:hAnsi="Arial"/>
                <w:sz w:val="22"/>
                <w:szCs w:val="22"/>
                <w:b w:val="1"/>
                <w:bCs w:val="1"/>
                <w:color w:val="auto"/>
                <w:w w:val="97"/>
              </w:rPr>
              <w:t>FORM 10-K</w:t>
            </w: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8960" w:type="dxa"/>
            <w:vAlign w:val="bottom"/>
          </w:tcPr>
          <w:p>
            <w:pPr>
              <w:jc w:val="center"/>
              <w:ind w:left="614"/>
              <w:spacing w:after="0"/>
              <w:rPr>
                <w:sz w:val="20"/>
                <w:szCs w:val="20"/>
                <w:color w:val="auto"/>
              </w:rPr>
            </w:pPr>
            <w:r>
              <w:rPr>
                <w:rFonts w:ascii="Arial" w:cs="Arial" w:eastAsia="Arial" w:hAnsi="Arial"/>
                <w:sz w:val="16"/>
                <w:szCs w:val="16"/>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378"/>
        </w:trPr>
        <w:tc>
          <w:tcPr>
            <w:tcW w:w="860" w:type="dxa"/>
            <w:vAlign w:val="bottom"/>
          </w:tcPr>
          <w:p>
            <w:pPr>
              <w:spacing w:after="0"/>
              <w:rPr>
                <w:sz w:val="24"/>
                <w:szCs w:val="24"/>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62"/>
        </w:trPr>
        <w:tc>
          <w:tcPr>
            <w:tcW w:w="860" w:type="dxa"/>
            <w:vAlign w:val="bottom"/>
          </w:tcPr>
          <w:p>
            <w:pPr>
              <w:spacing w:after="0"/>
              <w:rPr>
                <w:sz w:val="22"/>
                <w:szCs w:val="22"/>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306"/>
        </w:trPr>
        <w:tc>
          <w:tcPr>
            <w:tcW w:w="8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960" w:type="dxa"/>
            <w:vAlign w:val="bottom"/>
          </w:tcPr>
          <w:p>
            <w:pPr>
              <w:jc w:val="center"/>
              <w:ind w:left="614"/>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437"/>
        </w:trPr>
        <w:tc>
          <w:tcPr>
            <w:tcW w:w="860" w:type="dxa"/>
            <w:vAlign w:val="bottom"/>
          </w:tcPr>
          <w:p>
            <w:pPr>
              <w:spacing w:after="0"/>
              <w:rPr>
                <w:sz w:val="24"/>
                <w:szCs w:val="24"/>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92"/>
        </w:trPr>
        <w:tc>
          <w:tcPr>
            <w:tcW w:w="860" w:type="dxa"/>
            <w:vAlign w:val="bottom"/>
          </w:tcPr>
          <w:p>
            <w:pPr>
              <w:spacing w:after="0"/>
              <w:rPr>
                <w:sz w:val="24"/>
                <w:szCs w:val="24"/>
                <w:color w:val="auto"/>
              </w:rPr>
            </w:pPr>
          </w:p>
        </w:tc>
        <w:tc>
          <w:tcPr>
            <w:tcW w:w="8960" w:type="dxa"/>
            <w:vAlign w:val="bottom"/>
          </w:tcPr>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55880</wp:posOffset>
            </wp:positionV>
            <wp:extent cx="2143125"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FTAI INFRASTRUCTURE INC.</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7980" w:type="dxa"/>
            <w:vAlign w:val="bottom"/>
            <w:gridSpan w:val="4"/>
          </w:tcPr>
          <w:p>
            <w:pPr>
              <w:ind w:left="3780"/>
              <w:spacing w:after="0"/>
              <w:rPr>
                <w:sz w:val="20"/>
                <w:szCs w:val="20"/>
                <w:color w:val="auto"/>
              </w:rPr>
            </w:pPr>
            <w:r>
              <w:rPr>
                <w:rFonts w:ascii="Arial" w:cs="Arial" w:eastAsia="Arial" w:hAnsi="Arial"/>
                <w:sz w:val="16"/>
                <w:szCs w:val="16"/>
                <w:color w:val="auto"/>
              </w:rPr>
              <w:t>(Exact name of registrant as specified in its charter)</w:t>
            </w:r>
          </w:p>
        </w:tc>
        <w:tc>
          <w:tcPr>
            <w:tcW w:w="3260" w:type="dxa"/>
            <w:vAlign w:val="bottom"/>
          </w:tcPr>
          <w:p>
            <w:pPr>
              <w:spacing w:after="0"/>
              <w:rPr>
                <w:sz w:val="18"/>
                <w:szCs w:val="18"/>
                <w:color w:val="auto"/>
              </w:rPr>
            </w:pPr>
          </w:p>
        </w:tc>
      </w:tr>
      <w:tr>
        <w:trPr>
          <w:trHeight w:val="232"/>
        </w:trPr>
        <w:tc>
          <w:tcPr>
            <w:tcW w:w="5480" w:type="dxa"/>
            <w:vAlign w:val="bottom"/>
            <w:tcBorders>
              <w:bottom w:val="single" w:sz="8" w:color="auto"/>
            </w:tcBorders>
          </w:tcPr>
          <w:p>
            <w:pPr>
              <w:jc w:val="center"/>
              <w:ind w:left="2279"/>
              <w:spacing w:after="0"/>
              <w:rPr>
                <w:sz w:val="20"/>
                <w:szCs w:val="20"/>
                <w:color w:val="auto"/>
              </w:rPr>
            </w:pPr>
            <w:r>
              <w:rPr>
                <w:rFonts w:ascii="Arial" w:cs="Arial" w:eastAsia="Arial" w:hAnsi="Arial"/>
                <w:sz w:val="16"/>
                <w:szCs w:val="16"/>
                <w:b w:val="1"/>
                <w:bCs w:val="1"/>
                <w:color w:val="auto"/>
              </w:rPr>
              <w:t>Delaware</w:t>
            </w:r>
          </w:p>
        </w:tc>
        <w:tc>
          <w:tcPr>
            <w:tcW w:w="1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87-4407005</w:t>
            </w:r>
          </w:p>
        </w:tc>
      </w:tr>
      <w:tr>
        <w:trPr>
          <w:trHeight w:val="208"/>
        </w:trPr>
        <w:tc>
          <w:tcPr>
            <w:tcW w:w="6740" w:type="dxa"/>
            <w:vAlign w:val="bottom"/>
            <w:gridSpan w:val="2"/>
          </w:tcPr>
          <w:p>
            <w:pPr>
              <w:jc w:val="center"/>
              <w:ind w:left="999"/>
              <w:spacing w:after="0"/>
              <w:rPr>
                <w:sz w:val="20"/>
                <w:szCs w:val="20"/>
                <w:color w:val="auto"/>
              </w:rPr>
            </w:pPr>
            <w:r>
              <w:rPr>
                <w:rFonts w:ascii="Arial" w:cs="Arial" w:eastAsia="Arial" w:hAnsi="Arial"/>
                <w:sz w:val="16"/>
                <w:szCs w:val="16"/>
                <w:color w:val="auto"/>
              </w:rPr>
              <w:t>(State or other jurisdiction of incorporation or organization)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379"/>
        </w:trPr>
        <w:tc>
          <w:tcPr>
            <w:tcW w:w="5480" w:type="dxa"/>
            <w:vAlign w:val="bottom"/>
          </w:tcPr>
          <w:p>
            <w:pPr>
              <w:ind w:left="1140"/>
              <w:spacing w:after="0"/>
              <w:rPr>
                <w:sz w:val="20"/>
                <w:szCs w:val="20"/>
                <w:color w:val="auto"/>
              </w:rPr>
            </w:pPr>
            <w:r>
              <w:rPr>
                <w:rFonts w:ascii="Arial" w:cs="Arial" w:eastAsia="Arial" w:hAnsi="Arial"/>
                <w:sz w:val="16"/>
                <w:szCs w:val="16"/>
                <w:b w:val="1"/>
                <w:bCs w:val="1"/>
                <w:color w:val="auto"/>
              </w:rPr>
              <w:t>1345 Avenue of the Americas, 45th Floor</w:t>
            </w:r>
          </w:p>
        </w:tc>
        <w:tc>
          <w:tcPr>
            <w:tcW w:w="1260" w:type="dxa"/>
            <w:vAlign w:val="bottom"/>
          </w:tcPr>
          <w:p>
            <w:pPr>
              <w:ind w:left="160"/>
              <w:spacing w:after="0"/>
              <w:rPr>
                <w:sz w:val="20"/>
                <w:szCs w:val="20"/>
                <w:color w:val="auto"/>
              </w:rPr>
            </w:pPr>
            <w:r>
              <w:rPr>
                <w:rFonts w:ascii="Arial" w:cs="Arial" w:eastAsia="Arial" w:hAnsi="Arial"/>
                <w:sz w:val="16"/>
                <w:szCs w:val="16"/>
                <w:b w:val="1"/>
                <w:bCs w:val="1"/>
                <w:color w:val="auto"/>
              </w:rPr>
              <w:t>New York</w:t>
            </w:r>
          </w:p>
        </w:tc>
        <w:tc>
          <w:tcPr>
            <w:tcW w:w="1240" w:type="dxa"/>
            <w:vAlign w:val="bottom"/>
            <w:gridSpan w:val="2"/>
          </w:tcPr>
          <w:p>
            <w:pPr>
              <w:ind w:left="360"/>
              <w:spacing w:after="0"/>
              <w:rPr>
                <w:sz w:val="20"/>
                <w:szCs w:val="20"/>
                <w:color w:val="auto"/>
              </w:rPr>
            </w:pPr>
            <w:r>
              <w:rPr>
                <w:rFonts w:ascii="Arial" w:cs="Arial" w:eastAsia="Arial" w:hAnsi="Arial"/>
                <w:sz w:val="16"/>
                <w:szCs w:val="16"/>
                <w:b w:val="1"/>
                <w:bCs w:val="1"/>
                <w:color w:val="auto"/>
              </w:rPr>
              <w:t>NY</w:t>
            </w:r>
          </w:p>
        </w:tc>
        <w:tc>
          <w:tcPr>
            <w:tcW w:w="3260" w:type="dxa"/>
            <w:vAlign w:val="bottom"/>
          </w:tcPr>
          <w:p>
            <w:pPr>
              <w:jc w:val="right"/>
              <w:ind w:right="1319"/>
              <w:spacing w:after="0"/>
              <w:rPr>
                <w:sz w:val="20"/>
                <w:szCs w:val="20"/>
                <w:color w:val="auto"/>
              </w:rPr>
            </w:pPr>
            <w:r>
              <w:rPr>
                <w:rFonts w:ascii="Arial" w:cs="Arial" w:eastAsia="Arial" w:hAnsi="Arial"/>
                <w:sz w:val="16"/>
                <w:szCs w:val="16"/>
                <w:b w:val="1"/>
                <w:bCs w:val="1"/>
                <w:color w:val="auto"/>
              </w:rPr>
              <w:t>10105</w:t>
            </w:r>
          </w:p>
        </w:tc>
      </w:tr>
      <w:tr>
        <w:trPr>
          <w:trHeight w:val="208"/>
        </w:trPr>
        <w:tc>
          <w:tcPr>
            <w:tcW w:w="5480" w:type="dxa"/>
            <w:vAlign w:val="bottom"/>
            <w:tcBorders>
              <w:top w:val="single" w:sz="8" w:color="auto"/>
            </w:tcBorders>
          </w:tcPr>
          <w:p>
            <w:pPr>
              <w:jc w:val="center"/>
              <w:ind w:left="227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7700" w:type="dxa"/>
            <w:vAlign w:val="bottom"/>
            <w:gridSpan w:val="5"/>
          </w:tcPr>
          <w:p>
            <w:pPr>
              <w:ind w:left="3560"/>
              <w:spacing w:after="0"/>
              <w:rPr>
                <w:sz w:val="20"/>
                <w:szCs w:val="20"/>
                <w:color w:val="auto"/>
              </w:rPr>
            </w:pPr>
            <w:r>
              <w:rPr>
                <w:rFonts w:ascii="Arial" w:cs="Arial" w:eastAsia="Arial" w:hAnsi="Arial"/>
                <w:sz w:val="16"/>
                <w:szCs w:val="16"/>
                <w:color w:val="auto"/>
              </w:rPr>
              <w:t>Securities registered pursuant to Section 12(b) of the Act:</w:t>
            </w:r>
          </w:p>
        </w:tc>
        <w:tc>
          <w:tcPr>
            <w:tcW w:w="3540" w:type="dxa"/>
            <w:vAlign w:val="bottom"/>
          </w:tcPr>
          <w:p>
            <w:pPr>
              <w:spacing w:after="0"/>
              <w:rPr>
                <w:sz w:val="18"/>
                <w:szCs w:val="18"/>
                <w:color w:val="auto"/>
              </w:rPr>
            </w:pPr>
          </w:p>
        </w:tc>
      </w:tr>
      <w:tr>
        <w:trPr>
          <w:trHeight w:val="230"/>
        </w:trPr>
        <w:tc>
          <w:tcPr>
            <w:tcW w:w="5020" w:type="dxa"/>
            <w:vAlign w:val="bottom"/>
            <w:gridSpan w:val="2"/>
          </w:tcPr>
          <w:p>
            <w:pPr>
              <w:jc w:val="center"/>
              <w:ind w:right="80"/>
              <w:spacing w:after="0"/>
              <w:rPr>
                <w:sz w:val="20"/>
                <w:szCs w:val="20"/>
                <w:color w:val="auto"/>
              </w:rPr>
            </w:pPr>
            <w:r>
              <w:rPr>
                <w:rFonts w:ascii="Arial" w:cs="Arial" w:eastAsia="Arial" w:hAnsi="Arial"/>
                <w:sz w:val="16"/>
                <w:szCs w:val="16"/>
                <w:color w:val="auto"/>
              </w:rPr>
              <w:t>Title of each class:</w:t>
            </w:r>
          </w:p>
        </w:tc>
        <w:tc>
          <w:tcPr>
            <w:tcW w:w="2680" w:type="dxa"/>
            <w:vAlign w:val="bottom"/>
            <w:gridSpan w:val="3"/>
          </w:tcPr>
          <w:p>
            <w:pPr>
              <w:jc w:val="center"/>
              <w:ind w:right="700"/>
              <w:spacing w:after="0"/>
              <w:rPr>
                <w:sz w:val="20"/>
                <w:szCs w:val="20"/>
                <w:color w:val="auto"/>
              </w:rPr>
            </w:pPr>
            <w:r>
              <w:rPr>
                <w:rFonts w:ascii="Arial" w:cs="Arial" w:eastAsia="Arial" w:hAnsi="Arial"/>
                <w:sz w:val="16"/>
                <w:szCs w:val="16"/>
                <w:color w:val="auto"/>
              </w:rPr>
              <w:t>Trading Symbol:</w:t>
            </w:r>
          </w:p>
        </w:tc>
        <w:tc>
          <w:tcPr>
            <w:tcW w:w="3540" w:type="dxa"/>
            <w:vAlign w:val="bottom"/>
          </w:tcPr>
          <w:p>
            <w:pPr>
              <w:jc w:val="center"/>
              <w:ind w:right="539"/>
              <w:spacing w:after="0"/>
              <w:rPr>
                <w:sz w:val="20"/>
                <w:szCs w:val="20"/>
                <w:color w:val="auto"/>
              </w:rPr>
            </w:pPr>
            <w:r>
              <w:rPr>
                <w:rFonts w:ascii="Arial" w:cs="Arial" w:eastAsia="Arial" w:hAnsi="Arial"/>
                <w:sz w:val="16"/>
                <w:szCs w:val="16"/>
                <w:color w:val="auto"/>
              </w:rPr>
              <w:t>Name of exchange on which registered:</w:t>
            </w:r>
          </w:p>
        </w:tc>
      </w:tr>
      <w:tr>
        <w:trPr>
          <w:trHeight w:val="209"/>
        </w:trPr>
        <w:tc>
          <w:tcPr>
            <w:tcW w:w="4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8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FIP</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jc w:val="center"/>
              <w:ind w:right="539"/>
              <w:spacing w:after="0"/>
              <w:rPr>
                <w:sz w:val="20"/>
                <w:szCs w:val="20"/>
                <w:color w:val="auto"/>
              </w:rPr>
            </w:pPr>
            <w:r>
              <w:rPr>
                <w:rFonts w:ascii="Arial" w:cs="Arial" w:eastAsia="Arial" w:hAnsi="Arial"/>
                <w:sz w:val="16"/>
                <w:szCs w:val="16"/>
                <w:color w:val="auto"/>
              </w:rPr>
              <w:t>The Nasdaq Global Select Market</w:t>
            </w:r>
          </w:p>
        </w:tc>
      </w:tr>
    </w:tbl>
    <w:p>
      <w:pPr>
        <w:spacing w:after="0" w:line="19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240" w:type="dxa"/>
        <w:tblCellMar>
          <w:top w:w="0" w:type="dxa"/>
          <w:left w:w="0" w:type="dxa"/>
          <w:bottom w:w="0" w:type="dxa"/>
          <w:right w:w="0" w:type="dxa"/>
        </w:tblCellMar>
      </w:tblPr>
      <w:tr>
        <w:trPr>
          <w:trHeight w:val="216"/>
        </w:trPr>
        <w:tc>
          <w:tcPr>
            <w:tcW w:w="2220" w:type="dxa"/>
            <w:vAlign w:val="bottom"/>
          </w:tcPr>
          <w:p>
            <w:pPr>
              <w:jc w:val="center"/>
              <w:ind w:right="539"/>
              <w:spacing w:after="0"/>
              <w:rPr>
                <w:sz w:val="20"/>
                <w:szCs w:val="20"/>
                <w:color w:val="auto"/>
              </w:rPr>
            </w:pPr>
            <w:r>
              <w:rPr>
                <w:rFonts w:ascii="Arial" w:cs="Arial" w:eastAsia="Arial" w:hAnsi="Arial"/>
                <w:sz w:val="16"/>
                <w:szCs w:val="16"/>
                <w:color w:val="auto"/>
              </w:rPr>
              <w:t>Large accelerated filer</w:t>
            </w:r>
          </w:p>
        </w:tc>
        <w:tc>
          <w:tcPr>
            <w:tcW w:w="13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00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220" w:type="dxa"/>
            <w:vAlign w:val="bottom"/>
          </w:tcPr>
          <w:p>
            <w:pPr>
              <w:jc w:val="center"/>
              <w:ind w:right="539"/>
              <w:spacing w:after="0"/>
              <w:rPr>
                <w:sz w:val="20"/>
                <w:szCs w:val="20"/>
                <w:color w:val="auto"/>
              </w:rPr>
            </w:pPr>
            <w:r>
              <w:rPr>
                <w:rFonts w:ascii="Arial" w:cs="Arial" w:eastAsia="Arial" w:hAnsi="Arial"/>
                <w:sz w:val="16"/>
                <w:szCs w:val="16"/>
                <w:color w:val="auto"/>
              </w:rPr>
              <w:t>Non-accelerated filer</w:t>
            </w:r>
          </w:p>
        </w:tc>
        <w:tc>
          <w:tcPr>
            <w:tcW w:w="13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00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jc w:val="both"/>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20"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ectPr>
          <w:pgSz w:w="11900" w:h="16838" w:orient="portrait"/>
          <w:cols w:equalWidth="0" w:num="1">
            <w:col w:w="11240"/>
          </w:cols>
          <w:pgMar w:left="320" w:top="931" w:right="339" w:bottom="1440" w:gutter="0" w:footer="0" w:header="0"/>
        </w:sect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 w:name="page2"/>
    <w:bookmarkEnd w:id="1"/>
    <w:p>
      <w:pPr>
        <w:jc w:val="both"/>
        <w:spacing w:after="0" w:line="21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as of June 30, 2025, the last business day of the registrant’s most recently completed second fiscal quarter, was approximately $698.0 million, calculated based on the closing price of the common stock on the Nasdaq Global Select Market on that date.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 of March 13, 2026, the number of outstanding shares of the registrant’s common stock was 118,163,555 shares.</w:t>
      </w:r>
    </w:p>
    <w:p>
      <w:pPr>
        <w:spacing w:after="0" w:line="127"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Portions of the registrant's definitive proxy statement for the registrant's 2026 annual meeting, to be filed within 120 days after the close of the registrant's fiscal year, are incorporated by reference into Part III of this Annual Report on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INDEX TO FORM 10-K</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300"/>
              <w:spacing w:after="0"/>
              <w:rPr>
                <w:sz w:val="20"/>
                <w:szCs w:val="20"/>
                <w:color w:val="auto"/>
              </w:rPr>
            </w:pPr>
            <w:r>
              <w:rPr>
                <w:rFonts w:ascii="Arial" w:cs="Arial" w:eastAsia="Arial" w:hAnsi="Arial"/>
                <w:sz w:val="14"/>
                <w:szCs w:val="14"/>
                <w:b w:val="1"/>
                <w:bCs w:val="1"/>
                <w:color w:val="00497F"/>
              </w:rPr>
              <w:t>PART I</w:t>
            </w:r>
          </w:p>
        </w:tc>
        <w:tc>
          <w:tcPr>
            <w:tcW w:w="17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300"/>
              <w:spacing w:after="0"/>
              <w:rPr>
                <w:sz w:val="20"/>
                <w:szCs w:val="20"/>
                <w:color w:val="auto"/>
              </w:rPr>
            </w:pPr>
            <w:r>
              <w:rPr>
                <w:rFonts w:ascii="Arial" w:cs="Arial" w:eastAsia="Arial" w:hAnsi="Arial"/>
                <w:sz w:val="14"/>
                <w:szCs w:val="14"/>
                <w:color w:val="0000FF"/>
              </w:rPr>
              <w:t>Forward-Looking Statements and Risk Factors Summary</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5</w:t>
            </w:r>
          </w:p>
        </w:tc>
      </w:tr>
      <w:tr>
        <w:trPr>
          <w:trHeight w:val="170"/>
        </w:trPr>
        <w:tc>
          <w:tcPr>
            <w:tcW w:w="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00497F"/>
              </w:rPr>
              <w:t>Item 1.</w:t>
            </w:r>
          </w:p>
        </w:tc>
        <w:tc>
          <w:tcPr>
            <w:tcW w:w="8920" w:type="dxa"/>
            <w:vAlign w:val="bottom"/>
          </w:tcPr>
          <w:p>
            <w:pPr>
              <w:ind w:left="300"/>
              <w:spacing w:after="0"/>
              <w:rPr>
                <w:sz w:val="20"/>
                <w:szCs w:val="20"/>
                <w:color w:val="auto"/>
              </w:rPr>
            </w:pPr>
            <w:r>
              <w:rPr>
                <w:rFonts w:ascii="Arial" w:cs="Arial" w:eastAsia="Arial" w:hAnsi="Arial"/>
                <w:sz w:val="14"/>
                <w:szCs w:val="14"/>
                <w:color w:val="0000FF"/>
              </w:rPr>
              <w:t>Business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7</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497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Borders>
              <w:bottom w:val="single" w:sz="8" w:color="00497F"/>
            </w:tcBorders>
            <w:gridSpan w:val="2"/>
          </w:tcPr>
          <w:p>
            <w:pPr>
              <w:spacing w:after="0"/>
              <w:rPr>
                <w:sz w:val="20"/>
                <w:szCs w:val="20"/>
                <w:color w:val="auto"/>
              </w:rPr>
            </w:pPr>
            <w:r>
              <w:rPr>
                <w:rFonts w:ascii="Arial" w:cs="Arial" w:eastAsia="Arial" w:hAnsi="Arial"/>
                <w:sz w:val="14"/>
                <w:szCs w:val="14"/>
                <w:b w:val="1"/>
                <w:bCs w:val="1"/>
                <w:color w:val="00497F"/>
                <w:w w:val="99"/>
              </w:rPr>
              <w:t>Item 1A.</w:t>
            </w:r>
          </w:p>
        </w:tc>
        <w:tc>
          <w:tcPr>
            <w:tcW w:w="8920" w:type="dxa"/>
            <w:vAlign w:val="bottom"/>
          </w:tcPr>
          <w:p>
            <w:pPr>
              <w:ind w:left="300"/>
              <w:spacing w:after="0"/>
              <w:rPr>
                <w:sz w:val="20"/>
                <w:szCs w:val="20"/>
                <w:color w:val="auto"/>
              </w:rPr>
            </w:pPr>
            <w:r>
              <w:rPr>
                <w:rFonts w:ascii="Arial" w:cs="Arial" w:eastAsia="Arial" w:hAnsi="Arial"/>
                <w:sz w:val="14"/>
                <w:szCs w:val="14"/>
                <w:color w:val="0000FF"/>
              </w:rPr>
              <w:t>Risk Factors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14</w:t>
            </w:r>
          </w:p>
        </w:tc>
      </w:tr>
      <w:tr>
        <w:trPr>
          <w:trHeight w:val="183"/>
        </w:trPr>
        <w:tc>
          <w:tcPr>
            <w:tcW w:w="20" w:type="dxa"/>
            <w:vAlign w:val="bottom"/>
          </w:tcPr>
          <w:p>
            <w:pPr>
              <w:spacing w:after="0"/>
              <w:rPr>
                <w:sz w:val="15"/>
                <w:szCs w:val="15"/>
                <w:color w:val="auto"/>
              </w:rPr>
            </w:pPr>
          </w:p>
        </w:tc>
        <w:tc>
          <w:tcPr>
            <w:tcW w:w="560" w:type="dxa"/>
            <w:vAlign w:val="bottom"/>
            <w:tcBorders>
              <w:bottom w:val="single" w:sz="8" w:color="00497F"/>
            </w:tcBorders>
            <w:gridSpan w:val="2"/>
          </w:tcPr>
          <w:p>
            <w:pPr>
              <w:spacing w:after="0"/>
              <w:rPr>
                <w:sz w:val="20"/>
                <w:szCs w:val="20"/>
                <w:color w:val="auto"/>
              </w:rPr>
            </w:pPr>
            <w:r>
              <w:rPr>
                <w:rFonts w:ascii="Arial" w:cs="Arial" w:eastAsia="Arial" w:hAnsi="Arial"/>
                <w:sz w:val="14"/>
                <w:szCs w:val="14"/>
                <w:b w:val="1"/>
                <w:bCs w:val="1"/>
                <w:color w:val="00497F"/>
                <w:w w:val="99"/>
              </w:rPr>
              <w:t>Item 1B.</w:t>
            </w:r>
          </w:p>
        </w:tc>
        <w:tc>
          <w:tcPr>
            <w:tcW w:w="8920" w:type="dxa"/>
            <w:vAlign w:val="bottom"/>
          </w:tcPr>
          <w:p>
            <w:pPr>
              <w:ind w:left="300"/>
              <w:spacing w:after="0"/>
              <w:rPr>
                <w:sz w:val="20"/>
                <w:szCs w:val="20"/>
                <w:color w:val="auto"/>
              </w:rPr>
            </w:pPr>
            <w:r>
              <w:rPr>
                <w:rFonts w:ascii="Arial" w:cs="Arial" w:eastAsia="Arial" w:hAnsi="Arial"/>
                <w:sz w:val="14"/>
                <w:szCs w:val="14"/>
                <w:color w:val="0000FF"/>
              </w:rPr>
              <w:t>Unresolved Staff Comments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33</w:t>
            </w:r>
          </w:p>
        </w:tc>
      </w:tr>
      <w:tr>
        <w:trPr>
          <w:trHeight w:val="183"/>
        </w:trPr>
        <w:tc>
          <w:tcPr>
            <w:tcW w:w="20" w:type="dxa"/>
            <w:vAlign w:val="bottom"/>
          </w:tcPr>
          <w:p>
            <w:pPr>
              <w:spacing w:after="0"/>
              <w:rPr>
                <w:sz w:val="15"/>
                <w:szCs w:val="15"/>
                <w:color w:val="auto"/>
              </w:rPr>
            </w:pPr>
          </w:p>
        </w:tc>
        <w:tc>
          <w:tcPr>
            <w:tcW w:w="560" w:type="dxa"/>
            <w:vAlign w:val="bottom"/>
            <w:tcBorders>
              <w:bottom w:val="single" w:sz="8" w:color="00497F"/>
            </w:tcBorders>
            <w:gridSpan w:val="2"/>
          </w:tcPr>
          <w:p>
            <w:pPr>
              <w:spacing w:after="0"/>
              <w:rPr>
                <w:sz w:val="20"/>
                <w:szCs w:val="20"/>
                <w:color w:val="auto"/>
              </w:rPr>
            </w:pPr>
            <w:r>
              <w:rPr>
                <w:rFonts w:ascii="Arial" w:cs="Arial" w:eastAsia="Arial" w:hAnsi="Arial"/>
                <w:sz w:val="14"/>
                <w:szCs w:val="14"/>
                <w:b w:val="1"/>
                <w:bCs w:val="1"/>
                <w:color w:val="00497F"/>
                <w:w w:val="99"/>
              </w:rPr>
              <w:t>Item 1C.</w:t>
            </w:r>
          </w:p>
        </w:tc>
        <w:tc>
          <w:tcPr>
            <w:tcW w:w="8920" w:type="dxa"/>
            <w:vAlign w:val="bottom"/>
          </w:tcPr>
          <w:p>
            <w:pPr>
              <w:ind w:left="300"/>
              <w:spacing w:after="0"/>
              <w:rPr>
                <w:sz w:val="20"/>
                <w:szCs w:val="20"/>
                <w:color w:val="auto"/>
              </w:rPr>
            </w:pPr>
            <w:r>
              <w:rPr>
                <w:rFonts w:ascii="Arial" w:cs="Arial" w:eastAsia="Arial" w:hAnsi="Arial"/>
                <w:sz w:val="14"/>
                <w:szCs w:val="14"/>
                <w:color w:val="0000FF"/>
              </w:rPr>
              <w:t>Cybersecurity</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33</w:t>
            </w:r>
          </w:p>
        </w:tc>
      </w:tr>
      <w:tr>
        <w:trPr>
          <w:trHeight w:val="183"/>
        </w:trPr>
        <w:tc>
          <w:tcPr>
            <w:tcW w:w="2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00497F"/>
              </w:rPr>
              <w:t>Item 2.</w:t>
            </w:r>
          </w:p>
        </w:tc>
        <w:tc>
          <w:tcPr>
            <w:tcW w:w="8920" w:type="dxa"/>
            <w:vAlign w:val="bottom"/>
          </w:tcPr>
          <w:p>
            <w:pPr>
              <w:ind w:left="300"/>
              <w:spacing w:after="0"/>
              <w:rPr>
                <w:sz w:val="20"/>
                <w:szCs w:val="20"/>
                <w:color w:val="auto"/>
              </w:rPr>
            </w:pPr>
            <w:r>
              <w:rPr>
                <w:rFonts w:ascii="Arial" w:cs="Arial" w:eastAsia="Arial" w:hAnsi="Arial"/>
                <w:sz w:val="14"/>
                <w:szCs w:val="14"/>
                <w:color w:val="0000FF"/>
              </w:rPr>
              <w:t>Properties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34</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497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00497F"/>
              </w:rPr>
              <w:t>Item 3.</w:t>
            </w:r>
          </w:p>
        </w:tc>
        <w:tc>
          <w:tcPr>
            <w:tcW w:w="8920" w:type="dxa"/>
            <w:vAlign w:val="bottom"/>
          </w:tcPr>
          <w:p>
            <w:pPr>
              <w:ind w:left="300"/>
              <w:spacing w:after="0"/>
              <w:rPr>
                <w:sz w:val="20"/>
                <w:szCs w:val="20"/>
                <w:color w:val="auto"/>
              </w:rPr>
            </w:pPr>
            <w:r>
              <w:rPr>
                <w:rFonts w:ascii="Arial" w:cs="Arial" w:eastAsia="Arial" w:hAnsi="Arial"/>
                <w:sz w:val="14"/>
                <w:szCs w:val="14"/>
                <w:color w:val="0000FF"/>
              </w:rPr>
              <w:t>Legal Proceedings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34</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497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00497F"/>
              </w:rPr>
              <w:t>Item 4.</w:t>
            </w:r>
          </w:p>
        </w:tc>
        <w:tc>
          <w:tcPr>
            <w:tcW w:w="8920" w:type="dxa"/>
            <w:vAlign w:val="bottom"/>
          </w:tcPr>
          <w:p>
            <w:pPr>
              <w:ind w:left="300"/>
              <w:spacing w:after="0"/>
              <w:rPr>
                <w:sz w:val="20"/>
                <w:szCs w:val="20"/>
                <w:color w:val="auto"/>
              </w:rPr>
            </w:pPr>
            <w:r>
              <w:rPr>
                <w:rFonts w:ascii="Arial" w:cs="Arial" w:eastAsia="Arial" w:hAnsi="Arial"/>
                <w:sz w:val="14"/>
                <w:szCs w:val="14"/>
                <w:color w:val="0000FF"/>
              </w:rPr>
              <w:t>Mine Safety Disclosures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34</w:t>
            </w:r>
          </w:p>
        </w:tc>
      </w:tr>
      <w:tr>
        <w:trPr>
          <w:trHeight w:val="221"/>
        </w:trPr>
        <w:tc>
          <w:tcPr>
            <w:tcW w:w="20" w:type="dxa"/>
            <w:vAlign w:val="bottom"/>
          </w:tcPr>
          <w:p>
            <w:pPr>
              <w:spacing w:after="0"/>
              <w:rPr>
                <w:sz w:val="19"/>
                <w:szCs w:val="19"/>
                <w:color w:val="auto"/>
              </w:rPr>
            </w:pPr>
          </w:p>
        </w:tc>
        <w:tc>
          <w:tcPr>
            <w:tcW w:w="460" w:type="dxa"/>
            <w:vAlign w:val="bottom"/>
            <w:tcBorders>
              <w:top w:val="single" w:sz="8" w:color="00497F"/>
            </w:tcBorders>
          </w:tcPr>
          <w:p>
            <w:pPr>
              <w:spacing w:after="0"/>
              <w:rPr>
                <w:sz w:val="19"/>
                <w:szCs w:val="19"/>
                <w:color w:val="auto"/>
              </w:rPr>
            </w:pPr>
          </w:p>
        </w:tc>
        <w:tc>
          <w:tcPr>
            <w:tcW w:w="100" w:type="dxa"/>
            <w:vAlign w:val="bottom"/>
          </w:tcPr>
          <w:p>
            <w:pPr>
              <w:spacing w:after="0"/>
              <w:rPr>
                <w:sz w:val="19"/>
                <w:szCs w:val="19"/>
                <w:color w:val="auto"/>
              </w:rPr>
            </w:pPr>
          </w:p>
        </w:tc>
        <w:tc>
          <w:tcPr>
            <w:tcW w:w="8920" w:type="dxa"/>
            <w:vAlign w:val="bottom"/>
          </w:tcPr>
          <w:p>
            <w:pPr>
              <w:ind w:left="300"/>
              <w:spacing w:after="0"/>
              <w:rPr>
                <w:sz w:val="20"/>
                <w:szCs w:val="20"/>
                <w:color w:val="auto"/>
              </w:rPr>
            </w:pPr>
            <w:r>
              <w:rPr>
                <w:rFonts w:ascii="Arial" w:cs="Arial" w:eastAsia="Arial" w:hAnsi="Arial"/>
                <w:sz w:val="14"/>
                <w:szCs w:val="14"/>
                <w:b w:val="1"/>
                <w:bCs w:val="1"/>
                <w:color w:val="00497F"/>
              </w:rPr>
              <w:t>PART II</w:t>
            </w:r>
          </w:p>
        </w:tc>
        <w:tc>
          <w:tcPr>
            <w:tcW w:w="1740" w:type="dxa"/>
            <w:vAlign w:val="bottom"/>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00497F"/>
              </w:rPr>
              <w:t>Item 5.</w:t>
            </w:r>
          </w:p>
        </w:tc>
        <w:tc>
          <w:tcPr>
            <w:tcW w:w="8920" w:type="dxa"/>
            <w:vAlign w:val="bottom"/>
          </w:tcPr>
          <w:p>
            <w:pPr>
              <w:ind w:left="300"/>
              <w:spacing w:after="0"/>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35</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497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00497F"/>
              </w:rPr>
              <w:t>Item 6.</w:t>
            </w:r>
          </w:p>
        </w:tc>
        <w:tc>
          <w:tcPr>
            <w:tcW w:w="8920" w:type="dxa"/>
            <w:vAlign w:val="bottom"/>
          </w:tcPr>
          <w:p>
            <w:pPr>
              <w:ind w:left="300"/>
              <w:spacing w:after="0"/>
              <w:rPr>
                <w:sz w:val="20"/>
                <w:szCs w:val="20"/>
                <w:color w:val="auto"/>
              </w:rPr>
            </w:pPr>
            <w:r>
              <w:rPr>
                <w:rFonts w:ascii="Arial" w:cs="Arial" w:eastAsia="Arial" w:hAnsi="Arial"/>
                <w:sz w:val="14"/>
                <w:szCs w:val="14"/>
                <w:color w:val="0000FF"/>
              </w:rPr>
              <w:t>[Reserved]</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36</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497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00497F"/>
              </w:rPr>
              <w:t>Item 7.</w:t>
            </w:r>
          </w:p>
        </w:tc>
        <w:tc>
          <w:tcPr>
            <w:tcW w:w="8920" w:type="dxa"/>
            <w:vAlign w:val="bottom"/>
          </w:tcPr>
          <w:p>
            <w:pPr>
              <w:ind w:left="30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36</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497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Borders>
              <w:bottom w:val="single" w:sz="8" w:color="00497F"/>
            </w:tcBorders>
            <w:gridSpan w:val="2"/>
          </w:tcPr>
          <w:p>
            <w:pPr>
              <w:spacing w:after="0"/>
              <w:rPr>
                <w:sz w:val="20"/>
                <w:szCs w:val="20"/>
                <w:color w:val="auto"/>
              </w:rPr>
            </w:pPr>
            <w:r>
              <w:rPr>
                <w:rFonts w:ascii="Arial" w:cs="Arial" w:eastAsia="Arial" w:hAnsi="Arial"/>
                <w:sz w:val="14"/>
                <w:szCs w:val="14"/>
                <w:b w:val="1"/>
                <w:bCs w:val="1"/>
                <w:color w:val="00497F"/>
                <w:w w:val="99"/>
              </w:rPr>
              <w:t>Item 7A.</w:t>
            </w:r>
          </w:p>
        </w:tc>
        <w:tc>
          <w:tcPr>
            <w:tcW w:w="8920" w:type="dxa"/>
            <w:vAlign w:val="bottom"/>
          </w:tcPr>
          <w:p>
            <w:pPr>
              <w:ind w:left="300"/>
              <w:spacing w:after="0"/>
              <w:rPr>
                <w:sz w:val="20"/>
                <w:szCs w:val="20"/>
                <w:color w:val="auto"/>
              </w:rPr>
            </w:pPr>
            <w:r>
              <w:rPr>
                <w:rFonts w:ascii="Arial" w:cs="Arial" w:eastAsia="Arial" w:hAnsi="Arial"/>
                <w:sz w:val="14"/>
                <w:szCs w:val="14"/>
                <w:color w:val="0000FF"/>
              </w:rPr>
              <w:t>Quantitative and Qualitative Disclosures About Market Risk</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57</w:t>
            </w:r>
          </w:p>
        </w:tc>
      </w:tr>
      <w:tr>
        <w:trPr>
          <w:trHeight w:val="183"/>
        </w:trPr>
        <w:tc>
          <w:tcPr>
            <w:tcW w:w="2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00497F"/>
              </w:rPr>
              <w:t>Item 8.</w:t>
            </w:r>
          </w:p>
        </w:tc>
        <w:tc>
          <w:tcPr>
            <w:tcW w:w="8920" w:type="dxa"/>
            <w:vAlign w:val="bottom"/>
          </w:tcPr>
          <w:p>
            <w:pPr>
              <w:ind w:left="300"/>
              <w:spacing w:after="0"/>
              <w:rPr>
                <w:sz w:val="20"/>
                <w:szCs w:val="20"/>
                <w:color w:val="auto"/>
              </w:rPr>
            </w:pPr>
            <w:r>
              <w:rPr>
                <w:rFonts w:ascii="Arial" w:cs="Arial" w:eastAsia="Arial" w:hAnsi="Arial"/>
                <w:sz w:val="14"/>
                <w:szCs w:val="14"/>
                <w:color w:val="0000FF"/>
              </w:rPr>
              <w:t>Consolidated Financial Statements of FTAI Infrastructure Inc.</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57</w:t>
            </w:r>
          </w:p>
        </w:tc>
      </w:tr>
      <w:tr>
        <w:trPr>
          <w:trHeight w:val="215"/>
        </w:trPr>
        <w:tc>
          <w:tcPr>
            <w:tcW w:w="20" w:type="dxa"/>
            <w:vAlign w:val="bottom"/>
          </w:tcPr>
          <w:p>
            <w:pPr>
              <w:spacing w:after="0"/>
              <w:rPr>
                <w:sz w:val="18"/>
                <w:szCs w:val="18"/>
                <w:color w:val="auto"/>
              </w:rPr>
            </w:pPr>
          </w:p>
        </w:tc>
        <w:tc>
          <w:tcPr>
            <w:tcW w:w="460" w:type="dxa"/>
            <w:vAlign w:val="bottom"/>
            <w:tcBorders>
              <w:top w:val="single" w:sz="8" w:color="00497F"/>
            </w:tcBorders>
          </w:tcPr>
          <w:p>
            <w:pPr>
              <w:spacing w:after="0"/>
              <w:rPr>
                <w:sz w:val="18"/>
                <w:szCs w:val="18"/>
                <w:color w:val="auto"/>
              </w:rPr>
            </w:pPr>
          </w:p>
        </w:tc>
        <w:tc>
          <w:tcPr>
            <w:tcW w:w="100" w:type="dxa"/>
            <w:vAlign w:val="bottom"/>
          </w:tcPr>
          <w:p>
            <w:pPr>
              <w:spacing w:after="0"/>
              <w:rPr>
                <w:sz w:val="18"/>
                <w:szCs w:val="18"/>
                <w:color w:val="auto"/>
              </w:rPr>
            </w:pPr>
          </w:p>
        </w:tc>
        <w:tc>
          <w:tcPr>
            <w:tcW w:w="8920" w:type="dxa"/>
            <w:vAlign w:val="bottom"/>
          </w:tcPr>
          <w:p>
            <w:pPr>
              <w:ind w:left="300"/>
              <w:spacing w:after="0"/>
              <w:rPr>
                <w:sz w:val="20"/>
                <w:szCs w:val="20"/>
                <w:color w:val="auto"/>
              </w:rPr>
            </w:pPr>
            <w:r>
              <w:rPr>
                <w:rFonts w:ascii="Arial" w:cs="Arial" w:eastAsia="Arial" w:hAnsi="Arial"/>
                <w:sz w:val="14"/>
                <w:szCs w:val="14"/>
                <w:color w:val="0000FF"/>
              </w:rPr>
              <w:t>Report of Independent Registered Public Accounting Firm</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58</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300"/>
              <w:spacing w:after="0"/>
              <w:rPr>
                <w:sz w:val="20"/>
                <w:szCs w:val="20"/>
                <w:color w:val="auto"/>
              </w:rPr>
            </w:pPr>
            <w:r>
              <w:rPr>
                <w:rFonts w:ascii="Arial" w:cs="Arial" w:eastAsia="Arial" w:hAnsi="Arial"/>
                <w:sz w:val="14"/>
                <w:szCs w:val="14"/>
                <w:color w:val="0000FF"/>
              </w:rPr>
              <w:t>Consolidated Balance Sheets as of December 31, 2025 and 2024</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61</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300"/>
              <w:spacing w:after="0"/>
              <w:rPr>
                <w:sz w:val="20"/>
                <w:szCs w:val="20"/>
                <w:color w:val="auto"/>
              </w:rPr>
            </w:pPr>
            <w:r>
              <w:rPr>
                <w:rFonts w:ascii="Arial" w:cs="Arial" w:eastAsia="Arial" w:hAnsi="Arial"/>
                <w:sz w:val="14"/>
                <w:szCs w:val="14"/>
                <w:color w:val="0000FF"/>
              </w:rPr>
              <w:t>Consolidated Statements of Operations for the years ended December 31, 2025, 2024 and 2023</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63</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300"/>
              <w:spacing w:after="0"/>
              <w:rPr>
                <w:sz w:val="20"/>
                <w:szCs w:val="20"/>
                <w:color w:val="auto"/>
              </w:rPr>
            </w:pPr>
            <w:r>
              <w:rPr>
                <w:rFonts w:ascii="Arial" w:cs="Arial" w:eastAsia="Arial" w:hAnsi="Arial"/>
                <w:sz w:val="14"/>
                <w:szCs w:val="14"/>
                <w:color w:val="0000FF"/>
              </w:rPr>
              <w:t>Consolidated Statements of Comprehensive (Loss) Income for the years ended December 31, 2025, 2024 and 2023</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64</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300"/>
              <w:spacing w:after="0"/>
              <w:rPr>
                <w:sz w:val="20"/>
                <w:szCs w:val="20"/>
                <w:color w:val="auto"/>
              </w:rPr>
            </w:pPr>
            <w:r>
              <w:rPr>
                <w:rFonts w:ascii="Arial" w:cs="Arial" w:eastAsia="Arial" w:hAnsi="Arial"/>
                <w:sz w:val="14"/>
                <w:szCs w:val="14"/>
                <w:color w:val="0000FF"/>
              </w:rPr>
              <w:t>Consolidated Statement of Changes in Equity for the years ended December 31, 2025, 2024 and 2023</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65</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300"/>
              <w:spacing w:after="0"/>
              <w:rPr>
                <w:sz w:val="20"/>
                <w:szCs w:val="20"/>
                <w:color w:val="auto"/>
              </w:rPr>
            </w:pPr>
            <w:r>
              <w:rPr>
                <w:rFonts w:ascii="Arial" w:cs="Arial" w:eastAsia="Arial" w:hAnsi="Arial"/>
                <w:sz w:val="14"/>
                <w:szCs w:val="14"/>
                <w:color w:val="0000FF"/>
              </w:rPr>
              <w:t>Consolidated Statements of Cash Flows for the years ended December 31, 2025, 2024 and 2023</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66</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300"/>
              <w:spacing w:after="0"/>
              <w:rPr>
                <w:sz w:val="20"/>
                <w:szCs w:val="20"/>
                <w:color w:val="auto"/>
              </w:rPr>
            </w:pPr>
            <w:r>
              <w:rPr>
                <w:rFonts w:ascii="Arial" w:cs="Arial" w:eastAsia="Arial" w:hAnsi="Arial"/>
                <w:sz w:val="14"/>
                <w:szCs w:val="14"/>
                <w:color w:val="0000FF"/>
              </w:rPr>
              <w:t>Notes to Consolidated Financial Statements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68</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1: Organization</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68</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2: Basis of Presentation and Summary of Significant Accounting Policies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68</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3: Acquisition of Subsidiaries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76</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4: Leasing Equipment, net</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80</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5: Property, Plant and Equipment, net</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81</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6: Investments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81</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7: Intangible Assets, net</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84</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8: Debt, net</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85</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9: Fair Value Measurements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90</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10: Derivative Financial Instruments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93</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11: Revenues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94</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12: Leases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95</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13: Equity-Based Compensation</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96</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14: Retirement Benefit Plans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98</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15: Income Taxes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98</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16: Management Agreement and Affiliate Transactions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101</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17: Segment Information</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103</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18: Redeemable Preferred Stock</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104</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19: Earnings per Share and Equity</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106</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20: Commitments and Contingencies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108</w:t>
            </w: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tcPr>
          <w:p>
            <w:pPr>
              <w:ind w:left="520"/>
              <w:spacing w:after="0"/>
              <w:rPr>
                <w:sz w:val="20"/>
                <w:szCs w:val="20"/>
                <w:color w:val="auto"/>
              </w:rPr>
            </w:pPr>
            <w:r>
              <w:rPr>
                <w:rFonts w:ascii="Arial" w:cs="Arial" w:eastAsia="Arial" w:hAnsi="Arial"/>
                <w:sz w:val="14"/>
                <w:szCs w:val="14"/>
                <w:color w:val="0000FF"/>
              </w:rPr>
              <w:t>Note 21: Subsequent Events</w:t>
            </w:r>
          </w:p>
        </w:tc>
        <w:tc>
          <w:tcPr>
            <w:tcW w:w="1740" w:type="dxa"/>
            <w:vAlign w:val="bottom"/>
          </w:tcPr>
          <w:p>
            <w:pPr>
              <w:jc w:val="center"/>
              <w:ind w:left="868"/>
              <w:spacing w:after="0"/>
              <w:rPr>
                <w:sz w:val="20"/>
                <w:szCs w:val="20"/>
                <w:color w:val="auto"/>
              </w:rPr>
            </w:pPr>
            <w:r>
              <w:rPr>
                <w:rFonts w:ascii="Arial" w:cs="Arial" w:eastAsia="Arial" w:hAnsi="Arial"/>
                <w:sz w:val="14"/>
                <w:szCs w:val="14"/>
                <w:color w:val="0000FF"/>
              </w:rPr>
              <w:t>108</w:t>
            </w:r>
          </w:p>
        </w:tc>
      </w:tr>
      <w:tr>
        <w:trPr>
          <w:trHeight w:val="170"/>
        </w:trPr>
        <w:tc>
          <w:tcPr>
            <w:tcW w:w="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00497F"/>
              </w:rPr>
              <w:t>Item 9.</w:t>
            </w:r>
          </w:p>
        </w:tc>
        <w:tc>
          <w:tcPr>
            <w:tcW w:w="8920" w:type="dxa"/>
            <w:vAlign w:val="bottom"/>
          </w:tcPr>
          <w:p>
            <w:pPr>
              <w:ind w:left="300"/>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1740" w:type="dxa"/>
            <w:vAlign w:val="bottom"/>
          </w:tcPr>
          <w:p>
            <w:pPr>
              <w:jc w:val="center"/>
              <w:ind w:left="848"/>
              <w:spacing w:after="0"/>
              <w:rPr>
                <w:sz w:val="20"/>
                <w:szCs w:val="20"/>
                <w:color w:val="auto"/>
              </w:rPr>
            </w:pPr>
            <w:r>
              <w:rPr>
                <w:rFonts w:ascii="Arial" w:cs="Arial" w:eastAsia="Arial" w:hAnsi="Arial"/>
                <w:sz w:val="14"/>
                <w:szCs w:val="14"/>
                <w:color w:val="0000FF"/>
                <w:w w:val="94"/>
              </w:rPr>
              <w:t>110</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497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Borders>
              <w:bottom w:val="single" w:sz="8" w:color="00497F"/>
            </w:tcBorders>
            <w:gridSpan w:val="2"/>
          </w:tcPr>
          <w:p>
            <w:pPr>
              <w:spacing w:after="0"/>
              <w:rPr>
                <w:sz w:val="20"/>
                <w:szCs w:val="20"/>
                <w:color w:val="auto"/>
              </w:rPr>
            </w:pPr>
            <w:r>
              <w:rPr>
                <w:rFonts w:ascii="Arial" w:cs="Arial" w:eastAsia="Arial" w:hAnsi="Arial"/>
                <w:sz w:val="14"/>
                <w:szCs w:val="14"/>
                <w:b w:val="1"/>
                <w:bCs w:val="1"/>
                <w:color w:val="00497F"/>
                <w:w w:val="99"/>
              </w:rPr>
              <w:t>Item 9A.</w:t>
            </w:r>
          </w:p>
        </w:tc>
        <w:tc>
          <w:tcPr>
            <w:tcW w:w="8920" w:type="dxa"/>
            <w:vAlign w:val="bottom"/>
          </w:tcPr>
          <w:p>
            <w:pPr>
              <w:ind w:left="300"/>
              <w:spacing w:after="0"/>
              <w:rPr>
                <w:sz w:val="20"/>
                <w:szCs w:val="20"/>
                <w:color w:val="auto"/>
              </w:rPr>
            </w:pPr>
            <w:r>
              <w:rPr>
                <w:rFonts w:ascii="Arial" w:cs="Arial" w:eastAsia="Arial" w:hAnsi="Arial"/>
                <w:sz w:val="14"/>
                <w:szCs w:val="14"/>
                <w:color w:val="0000FF"/>
              </w:rPr>
              <w:t>Controls and Procedures</w:t>
            </w:r>
          </w:p>
        </w:tc>
        <w:tc>
          <w:tcPr>
            <w:tcW w:w="1740" w:type="dxa"/>
            <w:vAlign w:val="bottom"/>
          </w:tcPr>
          <w:p>
            <w:pPr>
              <w:jc w:val="center"/>
              <w:ind w:left="848"/>
              <w:spacing w:after="0"/>
              <w:rPr>
                <w:sz w:val="20"/>
                <w:szCs w:val="20"/>
                <w:color w:val="auto"/>
              </w:rPr>
            </w:pPr>
            <w:r>
              <w:rPr>
                <w:rFonts w:ascii="Arial" w:cs="Arial" w:eastAsia="Arial" w:hAnsi="Arial"/>
                <w:sz w:val="14"/>
                <w:szCs w:val="14"/>
                <w:color w:val="0000FF"/>
                <w:w w:val="94"/>
              </w:rPr>
              <w:t>110</w:t>
            </w:r>
          </w:p>
        </w:tc>
      </w:tr>
      <w:tr>
        <w:trPr>
          <w:trHeight w:val="183"/>
        </w:trPr>
        <w:tc>
          <w:tcPr>
            <w:tcW w:w="20" w:type="dxa"/>
            <w:vAlign w:val="bottom"/>
          </w:tcPr>
          <w:p>
            <w:pPr>
              <w:spacing w:after="0"/>
              <w:rPr>
                <w:sz w:val="15"/>
                <w:szCs w:val="15"/>
                <w:color w:val="auto"/>
              </w:rPr>
            </w:pPr>
          </w:p>
        </w:tc>
        <w:tc>
          <w:tcPr>
            <w:tcW w:w="560" w:type="dxa"/>
            <w:vAlign w:val="bottom"/>
            <w:tcBorders>
              <w:bottom w:val="single" w:sz="8" w:color="00497F"/>
            </w:tcBorders>
            <w:gridSpan w:val="2"/>
          </w:tcPr>
          <w:p>
            <w:pPr>
              <w:spacing w:after="0"/>
              <w:rPr>
                <w:sz w:val="20"/>
                <w:szCs w:val="20"/>
                <w:color w:val="auto"/>
              </w:rPr>
            </w:pPr>
            <w:r>
              <w:rPr>
                <w:rFonts w:ascii="Arial" w:cs="Arial" w:eastAsia="Arial" w:hAnsi="Arial"/>
                <w:sz w:val="14"/>
                <w:szCs w:val="14"/>
                <w:b w:val="1"/>
                <w:bCs w:val="1"/>
                <w:color w:val="00497F"/>
                <w:w w:val="99"/>
              </w:rPr>
              <w:t>Item 9B.</w:t>
            </w:r>
          </w:p>
        </w:tc>
        <w:tc>
          <w:tcPr>
            <w:tcW w:w="8920" w:type="dxa"/>
            <w:vAlign w:val="bottom"/>
          </w:tcPr>
          <w:p>
            <w:pPr>
              <w:ind w:left="300"/>
              <w:spacing w:after="0"/>
              <w:rPr>
                <w:sz w:val="20"/>
                <w:szCs w:val="20"/>
                <w:color w:val="auto"/>
              </w:rPr>
            </w:pPr>
            <w:r>
              <w:rPr>
                <w:rFonts w:ascii="Arial" w:cs="Arial" w:eastAsia="Arial" w:hAnsi="Arial"/>
                <w:sz w:val="14"/>
                <w:szCs w:val="14"/>
                <w:color w:val="0000FF"/>
              </w:rPr>
              <w:t>Other Information</w:t>
            </w:r>
          </w:p>
        </w:tc>
        <w:tc>
          <w:tcPr>
            <w:tcW w:w="1740" w:type="dxa"/>
            <w:vAlign w:val="bottom"/>
          </w:tcPr>
          <w:p>
            <w:pPr>
              <w:jc w:val="center"/>
              <w:ind w:left="848"/>
              <w:spacing w:after="0"/>
              <w:rPr>
                <w:sz w:val="20"/>
                <w:szCs w:val="20"/>
                <w:color w:val="auto"/>
              </w:rPr>
            </w:pPr>
            <w:r>
              <w:rPr>
                <w:rFonts w:ascii="Arial" w:cs="Arial" w:eastAsia="Arial" w:hAnsi="Arial"/>
                <w:sz w:val="14"/>
                <w:szCs w:val="14"/>
                <w:color w:val="0000FF"/>
                <w:w w:val="94"/>
              </w:rPr>
              <w:t>112</w:t>
            </w:r>
          </w:p>
        </w:tc>
      </w:tr>
      <w:tr>
        <w:trPr>
          <w:trHeight w:val="183"/>
        </w:trPr>
        <w:tc>
          <w:tcPr>
            <w:tcW w:w="20" w:type="dxa"/>
            <w:vAlign w:val="bottom"/>
          </w:tcPr>
          <w:p>
            <w:pPr>
              <w:spacing w:after="0"/>
              <w:rPr>
                <w:sz w:val="15"/>
                <w:szCs w:val="15"/>
                <w:color w:val="auto"/>
              </w:rPr>
            </w:pPr>
          </w:p>
        </w:tc>
        <w:tc>
          <w:tcPr>
            <w:tcW w:w="560" w:type="dxa"/>
            <w:vAlign w:val="bottom"/>
            <w:tcBorders>
              <w:bottom w:val="single" w:sz="8" w:color="00497F"/>
            </w:tcBorders>
            <w:gridSpan w:val="2"/>
          </w:tcPr>
          <w:p>
            <w:pPr>
              <w:spacing w:after="0"/>
              <w:rPr>
                <w:sz w:val="20"/>
                <w:szCs w:val="20"/>
                <w:color w:val="auto"/>
              </w:rPr>
            </w:pPr>
            <w:r>
              <w:rPr>
                <w:rFonts w:ascii="Arial" w:cs="Arial" w:eastAsia="Arial" w:hAnsi="Arial"/>
                <w:sz w:val="14"/>
                <w:szCs w:val="14"/>
                <w:b w:val="1"/>
                <w:bCs w:val="1"/>
                <w:color w:val="00497F"/>
                <w:w w:val="99"/>
              </w:rPr>
              <w:t>Item 9C.</w:t>
            </w:r>
          </w:p>
        </w:tc>
        <w:tc>
          <w:tcPr>
            <w:tcW w:w="8920" w:type="dxa"/>
            <w:vAlign w:val="bottom"/>
          </w:tcPr>
          <w:p>
            <w:pPr>
              <w:ind w:left="300"/>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1740" w:type="dxa"/>
            <w:vAlign w:val="bottom"/>
          </w:tcPr>
          <w:p>
            <w:pPr>
              <w:jc w:val="center"/>
              <w:ind w:left="848"/>
              <w:spacing w:after="0"/>
              <w:rPr>
                <w:sz w:val="20"/>
                <w:szCs w:val="20"/>
                <w:color w:val="auto"/>
              </w:rPr>
            </w:pPr>
            <w:r>
              <w:rPr>
                <w:rFonts w:ascii="Arial" w:cs="Arial" w:eastAsia="Arial" w:hAnsi="Arial"/>
                <w:sz w:val="14"/>
                <w:szCs w:val="14"/>
                <w:color w:val="0000FF"/>
                <w:w w:val="94"/>
              </w:rPr>
              <w:t>112</w:t>
            </w:r>
          </w:p>
        </w:tc>
      </w:tr>
      <w:tr>
        <w:trPr>
          <w:trHeight w:val="93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Pr>
          <w:p>
            <w:pPr>
              <w:ind w:left="5000"/>
              <w:spacing w:after="0"/>
              <w:rPr>
                <w:sz w:val="20"/>
                <w:szCs w:val="20"/>
                <w:color w:val="auto"/>
              </w:rPr>
            </w:pPr>
            <w:r>
              <w:rPr>
                <w:rFonts w:ascii="Arial" w:cs="Arial" w:eastAsia="Arial" w:hAnsi="Arial"/>
                <w:sz w:val="14"/>
                <w:szCs w:val="14"/>
                <w:color w:val="auto"/>
              </w:rPr>
              <w:t>3</w:t>
            </w:r>
          </w:p>
        </w:tc>
        <w:tc>
          <w:tcPr>
            <w:tcW w:w="1740" w:type="dxa"/>
            <w:vAlign w:val="bottom"/>
          </w:tcPr>
          <w:p>
            <w:pPr>
              <w:spacing w:after="0"/>
              <w:rPr>
                <w:sz w:val="24"/>
                <w:szCs w:val="24"/>
                <w:color w:val="auto"/>
              </w:rPr>
            </w:pPr>
          </w:p>
        </w:tc>
      </w:tr>
      <w:tr>
        <w:trPr>
          <w:trHeight w:val="96"/>
        </w:trPr>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9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6"/>
        </w:trPr>
        <w:tc>
          <w:tcPr>
            <w:tcW w:w="540" w:type="dxa"/>
            <w:vAlign w:val="bottom"/>
          </w:tcPr>
          <w:p>
            <w:pPr>
              <w:spacing w:after="0"/>
              <w:rPr>
                <w:sz w:val="17"/>
                <w:szCs w:val="17"/>
                <w:color w:val="auto"/>
              </w:rPr>
            </w:pPr>
          </w:p>
        </w:tc>
        <w:tc>
          <w:tcPr>
            <w:tcW w:w="8440" w:type="dxa"/>
            <w:vAlign w:val="bottom"/>
          </w:tcPr>
          <w:p>
            <w:pPr>
              <w:ind w:left="320"/>
              <w:spacing w:after="0"/>
              <w:rPr>
                <w:sz w:val="20"/>
                <w:szCs w:val="20"/>
                <w:color w:val="auto"/>
              </w:rPr>
            </w:pPr>
            <w:r>
              <w:rPr>
                <w:rFonts w:ascii="Arial" w:cs="Arial" w:eastAsia="Arial" w:hAnsi="Arial"/>
                <w:sz w:val="14"/>
                <w:szCs w:val="14"/>
                <w:b w:val="1"/>
                <w:bCs w:val="1"/>
                <w:color w:val="00497F"/>
              </w:rPr>
              <w:t>PART III</w:t>
            </w:r>
          </w:p>
        </w:tc>
        <w:tc>
          <w:tcPr>
            <w:tcW w:w="1940" w:type="dxa"/>
            <w:vAlign w:val="bottom"/>
          </w:tcPr>
          <w:p>
            <w:pPr>
              <w:spacing w:after="0"/>
              <w:rPr>
                <w:sz w:val="17"/>
                <w:szCs w:val="17"/>
                <w:color w:val="auto"/>
              </w:rPr>
            </w:pPr>
          </w:p>
        </w:tc>
      </w:tr>
      <w:tr>
        <w:trPr>
          <w:trHeight w:val="164"/>
        </w:trPr>
        <w:tc>
          <w:tcPr>
            <w:tcW w:w="540" w:type="dxa"/>
            <w:vAlign w:val="bottom"/>
            <w:tcBorders>
              <w:bottom w:val="single" w:sz="8" w:color="00497F"/>
            </w:tcBorders>
          </w:tcPr>
          <w:p>
            <w:pPr>
              <w:spacing w:after="0"/>
              <w:rPr>
                <w:sz w:val="20"/>
                <w:szCs w:val="20"/>
                <w:color w:val="auto"/>
              </w:rPr>
            </w:pPr>
            <w:r>
              <w:rPr>
                <w:rFonts w:ascii="Arial" w:cs="Arial" w:eastAsia="Arial" w:hAnsi="Arial"/>
                <w:sz w:val="14"/>
                <w:szCs w:val="14"/>
                <w:b w:val="1"/>
                <w:bCs w:val="1"/>
                <w:color w:val="00497F"/>
                <w:w w:val="99"/>
              </w:rPr>
              <w:t>Item 10.</w:t>
            </w:r>
          </w:p>
        </w:tc>
        <w:tc>
          <w:tcPr>
            <w:tcW w:w="8440" w:type="dxa"/>
            <w:vAlign w:val="bottom"/>
          </w:tcPr>
          <w:p>
            <w:pPr>
              <w:ind w:left="320"/>
              <w:spacing w:after="0"/>
              <w:rPr>
                <w:sz w:val="20"/>
                <w:szCs w:val="20"/>
                <w:color w:val="auto"/>
              </w:rPr>
            </w:pPr>
            <w:r>
              <w:rPr>
                <w:rFonts w:ascii="Arial" w:cs="Arial" w:eastAsia="Arial" w:hAnsi="Arial"/>
                <w:sz w:val="14"/>
                <w:szCs w:val="14"/>
                <w:color w:val="0000FF"/>
              </w:rPr>
              <w:t>Directors, Executive Officers and Corporate Governance</w:t>
            </w:r>
          </w:p>
        </w:tc>
        <w:tc>
          <w:tcPr>
            <w:tcW w:w="1940" w:type="dxa"/>
            <w:vAlign w:val="bottom"/>
          </w:tcPr>
          <w:p>
            <w:pPr>
              <w:jc w:val="right"/>
              <w:spacing w:after="0"/>
              <w:rPr>
                <w:sz w:val="20"/>
                <w:szCs w:val="20"/>
                <w:color w:val="auto"/>
              </w:rPr>
            </w:pPr>
            <w:r>
              <w:rPr>
                <w:rFonts w:ascii="Arial" w:cs="Arial" w:eastAsia="Arial" w:hAnsi="Arial"/>
                <w:sz w:val="14"/>
                <w:szCs w:val="14"/>
                <w:color w:val="0000FF"/>
              </w:rPr>
              <w:t>112</w:t>
            </w:r>
          </w:p>
        </w:tc>
      </w:tr>
      <w:tr>
        <w:trPr>
          <w:trHeight w:val="183"/>
        </w:trPr>
        <w:tc>
          <w:tcPr>
            <w:tcW w:w="540" w:type="dxa"/>
            <w:vAlign w:val="bottom"/>
            <w:tcBorders>
              <w:bottom w:val="single" w:sz="8" w:color="00497F"/>
            </w:tcBorders>
          </w:tcPr>
          <w:p>
            <w:pPr>
              <w:spacing w:after="0"/>
              <w:rPr>
                <w:sz w:val="20"/>
                <w:szCs w:val="20"/>
                <w:color w:val="auto"/>
              </w:rPr>
            </w:pPr>
            <w:r>
              <w:rPr>
                <w:rFonts w:ascii="Arial" w:cs="Arial" w:eastAsia="Arial" w:hAnsi="Arial"/>
                <w:sz w:val="14"/>
                <w:szCs w:val="14"/>
                <w:b w:val="1"/>
                <w:bCs w:val="1"/>
                <w:color w:val="00497F"/>
                <w:w w:val="99"/>
              </w:rPr>
              <w:t>Item 11.</w:t>
            </w:r>
          </w:p>
        </w:tc>
        <w:tc>
          <w:tcPr>
            <w:tcW w:w="8440" w:type="dxa"/>
            <w:vAlign w:val="bottom"/>
          </w:tcPr>
          <w:p>
            <w:pPr>
              <w:ind w:left="320"/>
              <w:spacing w:after="0"/>
              <w:rPr>
                <w:sz w:val="20"/>
                <w:szCs w:val="20"/>
                <w:color w:val="auto"/>
              </w:rPr>
            </w:pPr>
            <w:r>
              <w:rPr>
                <w:rFonts w:ascii="Arial" w:cs="Arial" w:eastAsia="Arial" w:hAnsi="Arial"/>
                <w:sz w:val="14"/>
                <w:szCs w:val="14"/>
                <w:color w:val="0000FF"/>
              </w:rPr>
              <w:t>Executive Compensation</w:t>
            </w:r>
          </w:p>
        </w:tc>
        <w:tc>
          <w:tcPr>
            <w:tcW w:w="1940" w:type="dxa"/>
            <w:vAlign w:val="bottom"/>
          </w:tcPr>
          <w:p>
            <w:pPr>
              <w:jc w:val="right"/>
              <w:spacing w:after="0"/>
              <w:rPr>
                <w:sz w:val="20"/>
                <w:szCs w:val="20"/>
                <w:color w:val="auto"/>
              </w:rPr>
            </w:pPr>
            <w:r>
              <w:rPr>
                <w:rFonts w:ascii="Arial" w:cs="Arial" w:eastAsia="Arial" w:hAnsi="Arial"/>
                <w:sz w:val="14"/>
                <w:szCs w:val="14"/>
                <w:color w:val="0000FF"/>
              </w:rPr>
              <w:t>112</w:t>
            </w:r>
          </w:p>
        </w:tc>
      </w:tr>
      <w:tr>
        <w:trPr>
          <w:trHeight w:val="183"/>
        </w:trPr>
        <w:tc>
          <w:tcPr>
            <w:tcW w:w="540" w:type="dxa"/>
            <w:vAlign w:val="bottom"/>
            <w:tcBorders>
              <w:bottom w:val="single" w:sz="8" w:color="00497F"/>
            </w:tcBorders>
          </w:tcPr>
          <w:p>
            <w:pPr>
              <w:spacing w:after="0"/>
              <w:rPr>
                <w:sz w:val="20"/>
                <w:szCs w:val="20"/>
                <w:color w:val="auto"/>
              </w:rPr>
            </w:pPr>
            <w:r>
              <w:rPr>
                <w:rFonts w:ascii="Arial" w:cs="Arial" w:eastAsia="Arial" w:hAnsi="Arial"/>
                <w:sz w:val="14"/>
                <w:szCs w:val="14"/>
                <w:b w:val="1"/>
                <w:bCs w:val="1"/>
                <w:color w:val="00497F"/>
                <w:w w:val="99"/>
              </w:rPr>
              <w:t>Item 12.</w:t>
            </w:r>
          </w:p>
        </w:tc>
        <w:tc>
          <w:tcPr>
            <w:tcW w:w="8440" w:type="dxa"/>
            <w:vAlign w:val="bottom"/>
          </w:tcPr>
          <w:p>
            <w:pPr>
              <w:ind w:left="320"/>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1940" w:type="dxa"/>
            <w:vAlign w:val="bottom"/>
          </w:tcPr>
          <w:p>
            <w:pPr>
              <w:jc w:val="right"/>
              <w:spacing w:after="0"/>
              <w:rPr>
                <w:sz w:val="20"/>
                <w:szCs w:val="20"/>
                <w:color w:val="auto"/>
              </w:rPr>
            </w:pPr>
            <w:r>
              <w:rPr>
                <w:rFonts w:ascii="Arial" w:cs="Arial" w:eastAsia="Arial" w:hAnsi="Arial"/>
                <w:sz w:val="14"/>
                <w:szCs w:val="14"/>
                <w:color w:val="0000FF"/>
              </w:rPr>
              <w:t>112</w:t>
            </w:r>
          </w:p>
        </w:tc>
      </w:tr>
      <w:tr>
        <w:trPr>
          <w:trHeight w:val="183"/>
        </w:trPr>
        <w:tc>
          <w:tcPr>
            <w:tcW w:w="540" w:type="dxa"/>
            <w:vAlign w:val="bottom"/>
            <w:tcBorders>
              <w:bottom w:val="single" w:sz="8" w:color="00497F"/>
            </w:tcBorders>
          </w:tcPr>
          <w:p>
            <w:pPr>
              <w:spacing w:after="0"/>
              <w:rPr>
                <w:sz w:val="20"/>
                <w:szCs w:val="20"/>
                <w:color w:val="auto"/>
              </w:rPr>
            </w:pPr>
            <w:r>
              <w:rPr>
                <w:rFonts w:ascii="Arial" w:cs="Arial" w:eastAsia="Arial" w:hAnsi="Arial"/>
                <w:sz w:val="14"/>
                <w:szCs w:val="14"/>
                <w:b w:val="1"/>
                <w:bCs w:val="1"/>
                <w:color w:val="00497F"/>
                <w:w w:val="99"/>
              </w:rPr>
              <w:t>Item 13.</w:t>
            </w:r>
          </w:p>
        </w:tc>
        <w:tc>
          <w:tcPr>
            <w:tcW w:w="8440" w:type="dxa"/>
            <w:vAlign w:val="bottom"/>
          </w:tcPr>
          <w:p>
            <w:pPr>
              <w:ind w:left="320"/>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1940" w:type="dxa"/>
            <w:vAlign w:val="bottom"/>
          </w:tcPr>
          <w:p>
            <w:pPr>
              <w:jc w:val="right"/>
              <w:spacing w:after="0"/>
              <w:rPr>
                <w:sz w:val="20"/>
                <w:szCs w:val="20"/>
                <w:color w:val="auto"/>
              </w:rPr>
            </w:pPr>
            <w:r>
              <w:rPr>
                <w:rFonts w:ascii="Arial" w:cs="Arial" w:eastAsia="Arial" w:hAnsi="Arial"/>
                <w:sz w:val="14"/>
                <w:szCs w:val="14"/>
                <w:color w:val="0000FF"/>
              </w:rPr>
              <w:t>112</w:t>
            </w:r>
          </w:p>
        </w:tc>
      </w:tr>
      <w:tr>
        <w:trPr>
          <w:trHeight w:val="183"/>
        </w:trPr>
        <w:tc>
          <w:tcPr>
            <w:tcW w:w="540" w:type="dxa"/>
            <w:vAlign w:val="bottom"/>
            <w:tcBorders>
              <w:bottom w:val="single" w:sz="8" w:color="00497F"/>
            </w:tcBorders>
          </w:tcPr>
          <w:p>
            <w:pPr>
              <w:spacing w:after="0"/>
              <w:rPr>
                <w:sz w:val="20"/>
                <w:szCs w:val="20"/>
                <w:color w:val="auto"/>
              </w:rPr>
            </w:pPr>
            <w:r>
              <w:rPr>
                <w:rFonts w:ascii="Arial" w:cs="Arial" w:eastAsia="Arial" w:hAnsi="Arial"/>
                <w:sz w:val="14"/>
                <w:szCs w:val="14"/>
                <w:b w:val="1"/>
                <w:bCs w:val="1"/>
                <w:color w:val="00497F"/>
                <w:w w:val="99"/>
              </w:rPr>
              <w:t>Item 14.</w:t>
            </w:r>
          </w:p>
        </w:tc>
        <w:tc>
          <w:tcPr>
            <w:tcW w:w="8440" w:type="dxa"/>
            <w:vAlign w:val="bottom"/>
          </w:tcPr>
          <w:p>
            <w:pPr>
              <w:ind w:left="320"/>
              <w:spacing w:after="0"/>
              <w:rPr>
                <w:sz w:val="20"/>
                <w:szCs w:val="20"/>
                <w:color w:val="auto"/>
              </w:rPr>
            </w:pPr>
            <w:r>
              <w:rPr>
                <w:rFonts w:ascii="Arial" w:cs="Arial" w:eastAsia="Arial" w:hAnsi="Arial"/>
                <w:sz w:val="14"/>
                <w:szCs w:val="14"/>
                <w:color w:val="0000FF"/>
              </w:rPr>
              <w:t>Principal Accountant Fees and Services</w:t>
            </w:r>
          </w:p>
        </w:tc>
        <w:tc>
          <w:tcPr>
            <w:tcW w:w="1940" w:type="dxa"/>
            <w:vAlign w:val="bottom"/>
          </w:tcPr>
          <w:p>
            <w:pPr>
              <w:jc w:val="right"/>
              <w:spacing w:after="0"/>
              <w:rPr>
                <w:sz w:val="20"/>
                <w:szCs w:val="20"/>
                <w:color w:val="auto"/>
              </w:rPr>
            </w:pPr>
            <w:r>
              <w:rPr>
                <w:rFonts w:ascii="Arial" w:cs="Arial" w:eastAsia="Arial" w:hAnsi="Arial"/>
                <w:sz w:val="14"/>
                <w:szCs w:val="14"/>
                <w:color w:val="0000FF"/>
              </w:rPr>
              <w:t>112</w:t>
            </w:r>
          </w:p>
        </w:tc>
      </w:tr>
      <w:tr>
        <w:trPr>
          <w:trHeight w:val="221"/>
        </w:trPr>
        <w:tc>
          <w:tcPr>
            <w:tcW w:w="540" w:type="dxa"/>
            <w:vAlign w:val="bottom"/>
          </w:tcPr>
          <w:p>
            <w:pPr>
              <w:spacing w:after="0"/>
              <w:rPr>
                <w:sz w:val="19"/>
                <w:szCs w:val="19"/>
                <w:color w:val="auto"/>
              </w:rPr>
            </w:pPr>
          </w:p>
        </w:tc>
        <w:tc>
          <w:tcPr>
            <w:tcW w:w="8440" w:type="dxa"/>
            <w:vAlign w:val="bottom"/>
          </w:tcPr>
          <w:p>
            <w:pPr>
              <w:ind w:left="320"/>
              <w:spacing w:after="0"/>
              <w:rPr>
                <w:sz w:val="20"/>
                <w:szCs w:val="20"/>
                <w:color w:val="auto"/>
              </w:rPr>
            </w:pPr>
            <w:r>
              <w:rPr>
                <w:rFonts w:ascii="Arial" w:cs="Arial" w:eastAsia="Arial" w:hAnsi="Arial"/>
                <w:sz w:val="14"/>
                <w:szCs w:val="14"/>
                <w:b w:val="1"/>
                <w:bCs w:val="1"/>
                <w:color w:val="00497F"/>
              </w:rPr>
              <w:t>PART IV</w:t>
            </w:r>
          </w:p>
        </w:tc>
        <w:tc>
          <w:tcPr>
            <w:tcW w:w="1940" w:type="dxa"/>
            <w:vAlign w:val="bottom"/>
          </w:tcPr>
          <w:p>
            <w:pPr>
              <w:spacing w:after="0"/>
              <w:rPr>
                <w:sz w:val="19"/>
                <w:szCs w:val="19"/>
                <w:color w:val="auto"/>
              </w:rPr>
            </w:pPr>
          </w:p>
        </w:tc>
      </w:tr>
      <w:tr>
        <w:trPr>
          <w:trHeight w:val="164"/>
        </w:trPr>
        <w:tc>
          <w:tcPr>
            <w:tcW w:w="540" w:type="dxa"/>
            <w:vAlign w:val="bottom"/>
            <w:tcBorders>
              <w:bottom w:val="single" w:sz="8" w:color="00497F"/>
            </w:tcBorders>
          </w:tcPr>
          <w:p>
            <w:pPr>
              <w:spacing w:after="0"/>
              <w:rPr>
                <w:sz w:val="20"/>
                <w:szCs w:val="20"/>
                <w:color w:val="auto"/>
              </w:rPr>
            </w:pPr>
            <w:r>
              <w:rPr>
                <w:rFonts w:ascii="Arial" w:cs="Arial" w:eastAsia="Arial" w:hAnsi="Arial"/>
                <w:sz w:val="14"/>
                <w:szCs w:val="14"/>
                <w:b w:val="1"/>
                <w:bCs w:val="1"/>
                <w:color w:val="00497F"/>
                <w:w w:val="99"/>
              </w:rPr>
              <w:t>Item 15.</w:t>
            </w:r>
          </w:p>
        </w:tc>
        <w:tc>
          <w:tcPr>
            <w:tcW w:w="8440" w:type="dxa"/>
            <w:vAlign w:val="bottom"/>
          </w:tcPr>
          <w:p>
            <w:pPr>
              <w:ind w:left="320"/>
              <w:spacing w:after="0"/>
              <w:rPr>
                <w:sz w:val="20"/>
                <w:szCs w:val="20"/>
                <w:color w:val="auto"/>
              </w:rPr>
            </w:pPr>
            <w:r>
              <w:rPr>
                <w:rFonts w:ascii="Arial" w:cs="Arial" w:eastAsia="Arial" w:hAnsi="Arial"/>
                <w:sz w:val="14"/>
                <w:szCs w:val="14"/>
                <w:color w:val="0000FF"/>
              </w:rPr>
              <w:t>Exhibits</w:t>
            </w:r>
          </w:p>
        </w:tc>
        <w:tc>
          <w:tcPr>
            <w:tcW w:w="1940" w:type="dxa"/>
            <w:vAlign w:val="bottom"/>
          </w:tcPr>
          <w:p>
            <w:pPr>
              <w:jc w:val="right"/>
              <w:spacing w:after="0"/>
              <w:rPr>
                <w:sz w:val="20"/>
                <w:szCs w:val="20"/>
                <w:color w:val="auto"/>
              </w:rPr>
            </w:pPr>
            <w:r>
              <w:rPr>
                <w:rFonts w:ascii="Arial" w:cs="Arial" w:eastAsia="Arial" w:hAnsi="Arial"/>
                <w:sz w:val="14"/>
                <w:szCs w:val="14"/>
                <w:color w:val="0000FF"/>
              </w:rPr>
              <w:t>113</w:t>
            </w:r>
          </w:p>
        </w:tc>
      </w:tr>
      <w:tr>
        <w:trPr>
          <w:trHeight w:val="183"/>
        </w:trPr>
        <w:tc>
          <w:tcPr>
            <w:tcW w:w="540" w:type="dxa"/>
            <w:vAlign w:val="bottom"/>
            <w:tcBorders>
              <w:bottom w:val="single" w:sz="8" w:color="00497F"/>
            </w:tcBorders>
          </w:tcPr>
          <w:p>
            <w:pPr>
              <w:spacing w:after="0"/>
              <w:rPr>
                <w:sz w:val="20"/>
                <w:szCs w:val="20"/>
                <w:color w:val="auto"/>
              </w:rPr>
            </w:pPr>
            <w:r>
              <w:rPr>
                <w:rFonts w:ascii="Arial" w:cs="Arial" w:eastAsia="Arial" w:hAnsi="Arial"/>
                <w:sz w:val="14"/>
                <w:szCs w:val="14"/>
                <w:b w:val="1"/>
                <w:bCs w:val="1"/>
                <w:color w:val="00497F"/>
                <w:w w:val="99"/>
              </w:rPr>
              <w:t>Item 16.</w:t>
            </w:r>
          </w:p>
        </w:tc>
        <w:tc>
          <w:tcPr>
            <w:tcW w:w="8440" w:type="dxa"/>
            <w:vAlign w:val="bottom"/>
          </w:tcPr>
          <w:p>
            <w:pPr>
              <w:ind w:left="320"/>
              <w:spacing w:after="0"/>
              <w:rPr>
                <w:sz w:val="20"/>
                <w:szCs w:val="20"/>
                <w:color w:val="auto"/>
              </w:rPr>
            </w:pPr>
            <w:r>
              <w:rPr>
                <w:rFonts w:ascii="Arial" w:cs="Arial" w:eastAsia="Arial" w:hAnsi="Arial"/>
                <w:sz w:val="14"/>
                <w:szCs w:val="14"/>
                <w:color w:val="0000FF"/>
              </w:rPr>
              <w:t>Form 10-K Summary</w:t>
            </w:r>
          </w:p>
        </w:tc>
        <w:tc>
          <w:tcPr>
            <w:tcW w:w="1940" w:type="dxa"/>
            <w:vAlign w:val="bottom"/>
          </w:tcPr>
          <w:p>
            <w:pPr>
              <w:jc w:val="right"/>
              <w:spacing w:after="0"/>
              <w:rPr>
                <w:sz w:val="20"/>
                <w:szCs w:val="20"/>
                <w:color w:val="auto"/>
              </w:rPr>
            </w:pPr>
            <w:r>
              <w:rPr>
                <w:rFonts w:ascii="Arial" w:cs="Arial" w:eastAsia="Arial" w:hAnsi="Arial"/>
                <w:sz w:val="14"/>
                <w:szCs w:val="14"/>
                <w:color w:val="0000FF"/>
              </w:rPr>
              <w:t>115</w:t>
            </w:r>
          </w:p>
        </w:tc>
      </w:tr>
      <w:tr>
        <w:trPr>
          <w:trHeight w:val="215"/>
        </w:trPr>
        <w:tc>
          <w:tcPr>
            <w:tcW w:w="54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4"/>
                <w:szCs w:val="14"/>
                <w:color w:val="0000FF"/>
              </w:rPr>
              <w:t>Signatures</w:t>
            </w:r>
          </w:p>
        </w:tc>
        <w:tc>
          <w:tcPr>
            <w:tcW w:w="1940" w:type="dxa"/>
            <w:vAlign w:val="bottom"/>
          </w:tcPr>
          <w:p>
            <w:pPr>
              <w:jc w:val="right"/>
              <w:spacing w:after="0"/>
              <w:rPr>
                <w:sz w:val="20"/>
                <w:szCs w:val="20"/>
                <w:color w:val="auto"/>
              </w:rPr>
            </w:pPr>
            <w:r>
              <w:rPr>
                <w:rFonts w:ascii="Arial" w:cs="Arial" w:eastAsia="Arial" w:hAnsi="Arial"/>
                <w:sz w:val="14"/>
                <w:szCs w:val="14"/>
                <w:color w:val="0000FF"/>
              </w:rPr>
              <w:t>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981" w:right="6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00497F"/>
        </w:rPr>
        <w:t>FORWARD-LOOKING STATEMENTS AND RISK FACTORS SUMMARY</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spacing w:after="0" w:line="14" w:lineRule="exact"/>
        <w:rPr>
          <w:sz w:val="20"/>
          <w:szCs w:val="20"/>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operate as a standalone public company;</w:t>
      </w:r>
    </w:p>
    <w:p>
      <w:pPr>
        <w:spacing w:after="0" w:line="72" w:lineRule="exact"/>
        <w:rPr>
          <w:rFonts w:ascii="Arial" w:cs="Arial" w:eastAsia="Arial" w:hAnsi="Arial"/>
          <w:sz w:val="16"/>
          <w:szCs w:val="16"/>
          <w:color w:val="auto"/>
        </w:rPr>
      </w:pPr>
    </w:p>
    <w:p>
      <w:pPr>
        <w:jc w:val="both"/>
        <w:ind w:left="820" w:hanging="326"/>
        <w:spacing w:after="0" w:line="265"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U.S. federal government shutdowns, the Russia-Ukraine conflict, the conflicts in the Middle East, public health crises, changing trade policies and tariffs, including related uncertainty or the imposition of modified or additional tariffs, and any related responses or actions by businesses and governments;</w:t>
      </w:r>
    </w:p>
    <w:p>
      <w:pPr>
        <w:spacing w:after="0" w:line="10"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including for future acquisitions, to refinance our debt and to fund our operations;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rail, energy and intermodal transport sectors;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 including The Wheeling Corporation (“Wheeling”) with Transtar;</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and maintenance may require substantial capital expenditures;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20" w:hanging="326"/>
        <w:spacing w:after="0" w:line="29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304"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 w:name="page6"/>
    <w:bookmarkEnd w:id="5"/>
    <w:p>
      <w:pPr>
        <w:ind w:left="820" w:hanging="326"/>
        <w:spacing w:after="0" w:line="286" w:lineRule="auto"/>
        <w:tabs>
          <w:tab w:leader="none" w:pos="809"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dependence on FIG LLC (the “Manager”) and its professionals and actual, potential or perceived conflicts of interest in our relationship with our Manager;</w:t>
      </w:r>
    </w:p>
    <w:p>
      <w:pPr>
        <w:spacing w:after="0" w:line="7" w:lineRule="exact"/>
        <w:rPr>
          <w:rFonts w:ascii="Arial" w:cs="Arial" w:eastAsia="Arial" w:hAnsi="Arial"/>
          <w:sz w:val="16"/>
          <w:szCs w:val="16"/>
          <w:color w:val="auto"/>
        </w:rPr>
      </w:pPr>
    </w:p>
    <w:p>
      <w:pPr>
        <w:ind w:left="820" w:right="20" w:hanging="326"/>
        <w:spacing w:after="0" w:line="286" w:lineRule="auto"/>
        <w:tabs>
          <w:tab w:leader="none" w:pos="809"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effects of the acquisition of Softbank Group Corp.’s (“Softbank”) equity in Fortress Investment Group LLC (“Fortress”) by certain members of management of Fortress and Mubadala Capital, a wholly owned asset management subsidiary of Mubadala Investment Company (“Mubadala”);</w:t>
      </w:r>
    </w:p>
    <w:p>
      <w:pPr>
        <w:spacing w:after="0" w:line="7"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stock;</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stockholders in the future;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00497F"/>
        </w:rPr>
        <w:t>PART 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 Business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Company</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FTAI Infrastructure Inc. (“we”, “us”, “our”, or the “Company”) is in the business of acquiring, developing and operating assets and businesses that represent critical infrastructure for customers in the transportation, energy and industrial products industries. We were formed on December 13, 2021 as FTAI Infrastructure LLC, a Delaware limited liability company and subsidiary of FTAI Aviation Ltd. (previously Fortress Transportation and Infrastructure Investors LLC; “FTAI” or “Former Parent”). We are a publicly-traded company trading on The Nasdaq Global Select Market under the symbol “FIP.”</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operations consist of four primary business lines: (i) Railroad, (ii) Ports and Terminals, (iii) Power and Gas and (iv) Sustainability and Energy Transition. Our Railroad business primarily invests in and operates short line and regional railroads in North America. Our Ports and Terminals business, consisting of our Jefferson Terminal and Repauno segments, develops or acquires industrial properties in strategic locations that store and handle for third parties a variety of energy products including crude oil, refined products and clean fuels. Our Power and Gas business develops and operates facilities, such as a 485-megawatt power plant at the Long Ridge terminal in Ohio, that leverage the property’s location and key attributes to generate incremental value. Our Sustainability and Energy Transition business focuses on investments in companies and assets that utilize green technology, produce sustainable fuels and products or enable customers to reduce their carbon footprint. For the year ended December 31, 2025, our Railroad business accounted for 34% of our total revenue, our Ports and Terminals business accounted for 19% of our total revenue and our Power and Gas business accounted for 36% of our total revenue. Corporate and other sources accounted for the remaining 11% of our total revenue.</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target sectors that we believe value strong long-term growth potential and proactively seek investment opportunities within those sectors that we believe will generate strong risk-adjusted returns. We take an opportunistic approach—targeting assets that are distressed or undervalued, or where we believe we can add value through active management, without heavy reliance on the use of financial leverage to generate returns. We also seek to develop incremental opportunities to deploy capital through follow-on investments in our existing assets in order to grow our earnings and create value. While leverage on any individual asset may vary, we target overall corporate leverage for our assets on a consolidated basis of no greater than 50% of our total capital.</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expect to continue to invest in such market sectors and pursue additional investment opportunities in other infrastructure businesses and assets we believe to be attractive and meet our investment objectives. Our team focuses on acquiring a diverse group of long-lived assets or operating businesses that provide mission-critical services or functions to infrastructure networks and typically have high barriers to entry, strong margins, stable cash flows and upside from earnings growth and asset appreciation driven by increased use and inflation. We believe that there are a large number of acquisition opportunities in our markets and that our Manager’s expertise and business and financing relationships, together with our access to capital and generally available capital for infrastructure projects in today’s marketplace, will allow us to take advantage of these opportunities. As of December 31, 2025, we had total consolidated assets of $5.7 billion and redeemable preferred stock and equity of $944.0 million.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Strategy</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invest across a number of major sectors including rail, energy, intermodal transport and ports and terminals, and we may pursue acquisitions in other areas as and when opportunities arise in the future. In general, we seek to own a diverse mix of high-quality infrastructure facilities, operations and equipment within our target sectors that generate predictable cash flows in markets that we believe provide the potential for strong long-term growth and attractive returns on deployed capital. We believe that by investing in a diverse mix of assets across sectors, we can select from among the best risk-adjusted investment opportunities, while avoiding overconcentration in any one segment, further adding to the stability of our business.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take a proactive investment approach by identifying key secular trends as they emerge within our target sectors and then pursuing what we believe are the most compelling opportunities within those sectors.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 We have several such opportunities currently identified, including significant potential for future investment at our Jefferson Terminal, Repauno and Long Ridge sites, in addition to our other assets, as discussed below.</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Manager has significant prior experience in all of our target sectors, as well as a network of industry relationships, that we believe positions us well to make successful acquisitions and to actively manage and improve operations and cash flows of our existing and newly-acquired assets. These relationships include senior executives at lessors and operators, end users of transportation and infrastructure assets, as well as banks, lenders and other asset owners.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have a robust current pipeline of potential investment opportunities. This current pipeline consists of opportunities for renewable and non-renewable energy, intermodal, rail and port-related investments.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0497F"/>
        </w:rPr>
        <w:t>Asset Acquisition Process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strategy is to acquire assets that we believe are essential to global infrastructure. We acquire assets that are used by major operators of infrastructure networks. We seek to acquire assets and businesses that we believe operate in sectors with long-term macroeconomic growth opportunities and that have significant cash flow and upside potential from earnings growth and asset appreciation.</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approach markets and opportunities by first developing an asset acquisition strategy with our Manager and then pursuing optimal opportunities within that strategy. In addition to relying on our own experience, we source new opportunities through our Manager’s network of industry relationships in order to find, structure and execute attractive acquisitions. We believe that sourcing assets both globally and through multiple channels will enable us to find the most attractive opportunities. We are selective in the assets we pursue and efficient in the manner in which we pursue them.</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Once attractive opportunities are identified, our Manager performs detailed due diligence on each of our potential acquisitions. Due diligence on each of our assets always includes a comprehensive review of the asset itself as well as the industry and market dynamics, competitive positioning, and financial and operational performance. Where appropriate, our Manager conducts physical inspections, a review of the credit quality of each of our counterparties, the regulatory environment, and a review of all material documentation. In some cases, third-party specialists are hired to physically inspect and/or value the target assets.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and our Manager also spend a significant amount of time on structuring our acquisitions to minimize risks while also optimizing expected returns. We employ what we believe to be reasonable amounts of leverage in connection with our acquisitions. In determining the amount of leverage for each acquisition, we consider a number of characteristics, including, but not limited to, the existing cash flow, the length of the lease or contract term, and the specific counterparty.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Management Agreement</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externally managed by our Manager, an affiliate of Fortress, which has a dedicated team of experienced professionals focused on the acquisition of infrastructure assets since 2002. On December 27, 2017, SoftBank completed its acquisition of Fortress. On May 14, 2024, certain members of Fortress management and affiliates of Mubadala Investment Company, through its wholly owned subsidiary, Mubadala Capital (“Mubadala”), completed their acquisition of 100% of the equity of Fortress from Softbank. While Fortress’s senior investment professionals are expected to remain at Fortress, including those individuals who perform services for us, there can be no assurance that the transaction will not have an adverse impact on us or our relationship with our Manager.</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Pursuant to the terms of the management agreement with our Manager (the “Management Agreement”), our Manager provides a management team and other professionals who are responsible for implementing our business strategy and performing certain services for us, subject to oversight by our board of directors. Our Management Agreement has an initial six-year term and is automatically renewed for one-year terms thereafter unless terminated either by us or our Manager. For its services, our Manager is entitled to receive a management fee from us, payable monthly, that is based on the average value of our total equity (including redeemable preferred stock, but excluding non-controlling interests) determined on a consolidated basis in accordance with U.S. generally accepted accounting principles (“U.S. GAAP”) as of the last day of the two most recently completed months multiplied by an annual rate of 1.50%. In addition, we are obligated to reimburse certain expenses incurred by our Manager on our behalf.</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Portfolio</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00497F"/>
        </w:rPr>
        <w:t>The following primarily comprise our Railroad business: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Transtar</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Transtar is comprised of six short-line freight railroads and one switching company: the Gary Railway Company, Indiana; The Lake Terminal Railroad Company, Ohio; East Ohio Valley Railroad Company, Ohio; Fairfield Southern Company Inc., Alabama; Delray Connecting Railroad Company, Michigan; Texas &amp; Northern Railroad Company, Texas; and the Union Railroad Company LLC, Pennsylvania. Gary Railway Company, Indiana and Union Railroad Company LLC, Pennsylvania connect to two of U.S. Steel Corporation’s (“USS”) largest production facilities in North America.</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FTAI and USS also entered into an exclusive strategic rail partnership under which we will provide rail service to USS for an initial term of 15 years with minimum volume commitments for the first five years. Through operational improvements and potential long-term development projects, we intend to enhance performance of under-utilized Transtar assets.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Transtar</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28, 2021, FTAI completed the purchase of 100% of the equity interests of Transtar, which was a wholly owned short-line railroad subsidiary of USS, for a cash purchase price of $640.0 million, subject to certain customary adjustments set forth in the Transtar Purchase Agreement (the “Transtar Acquisition”). As of December 31, 2025, Transtar has approximately 410 employees, of which approximately 340 are subject to collective bargaining agreements.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Railway Services Agreement</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28, 2021, in connection with the closing of the Transtar Acquisition, Transtar, certain Transtar subsidiaries (together with Transtar, the “Transtar Parties”), and USS entered into a railway services agreement (the “Railway Services Agreement”). Under the Railway Services Agreement, for an initial term of 15 years from and after the closing of the Transtar Acquisition, Transtar will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 w:name="page9"/>
    <w:bookmarkEnd w:id="8"/>
    <w:p>
      <w:pPr>
        <w:jc w:val="both"/>
        <w:spacing w:after="0" w:line="261" w:lineRule="auto"/>
        <w:rPr>
          <w:sz w:val="20"/>
          <w:szCs w:val="20"/>
          <w:color w:val="auto"/>
        </w:rPr>
      </w:pPr>
      <w:r>
        <w:rPr>
          <w:rFonts w:ascii="Arial" w:cs="Arial" w:eastAsia="Arial" w:hAnsi="Arial"/>
          <w:sz w:val="16"/>
          <w:szCs w:val="16"/>
          <w:color w:val="auto"/>
        </w:rPr>
        <w:t>continue to provide USS with rail haulage, switching and transportation services at USS’s facilities in and around Gary, Indiana, Pittsburgh, Pennsylvania, Fairfield, Alabama, Ecorse, Michigan, Lorain, Ohio and Lone Star, Texas, including but not limited to: railcar maintenance and repair services, locomotive maintenance, inspection and repair services, maintenance-of-way services, car management services, and rail and material handling services. The first five years of the Railway Services Agreement term contain the following minimum annual dollar value requirements: (i) from the closing until the first anniversary, $85.8 million, (ii) from the first anniversary until the second anniversary, $92.3 million, (iii) from the second anniversary until the third anniversary, $94.5 million, (iv) from the third anniversary until the fourth anniversary, $103.5 million and (v) from the fourth anniversary until the fifth anniversary, $106.5 million.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Wheeling Corporation</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Wheeling Corporation (“Wheeling”) is a holding company that owns and operates the Wheeling and Lake Erie Railway and the Akron Barberton Cluster Railway (together, “W&amp;LE”). W&amp;LE is a regional freight railroad headquartered in Brewster, Ohio, and is one of the largest regional freight railroads in the United States. It plays a critical role in freight transportation for approximately 250 customers across Ohio, Pennsylvania, West Virginia and Maryland.</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W&amp;LE operates on more than 1,000 miles of track and serves a diverse range of industries in some of the largest industrial markets in the country. It handles over 124,000 carloads annually, shipping commodities such as energy products, aggregates, chemicals, grain, plastics, and other industrial and agricultural goods. The railroad serves as critical infrastructure for the distribution of natural gas liquids from production facilities in Ohio and Pennsylvania to domestic and international markets. It is also essential to the local supply chain for limestone and other aggregates.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Wheeling owns a fleet of 92 locomotives, owns or leases approximately 1,600 railcars, operates across 17 rail yards, and has a large-scale locomotive repair facility in Brewster, Ohio. Wheeling generates ancillary revenue through right-of-way lease income, car storage (with approximately 1,000 storage spots), oil and gas royalties, and various switching and repair &amp; maintenance services. The railroad has national reach through its 29 interchanges with connecting railroads, including 13 interchanges with three Class I railroads and 16 interchanges with 15 different short line railroads, including two with Transtar’s Union Railroad.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Wheeling</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25, 2025, we completed the purchase of 100% of the issued and outstanding capital stock of Wheeling, for a purchase price of $1.05 billion, subject to certain customary adjustments set forth in the stock purchase agreement (the “Wheeling Acquisition”), and, after receiving U.S. Surface Transportation Board (the “STB”) approval of the transaction, we took full control of Wheeling on December 26, 2025. See Note 3 for additional details related to the acquisition of Wheeling. As of December 31, 2025, Wheeling has approximately 420 employees, of which approximately 300 are subject to collective bargaining agreements.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00497F"/>
        </w:rPr>
        <w:t>The following primarily comprise our Ports and Terminals business: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Jefferson Terminal</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Jefferson Terminal develops, owns and operates port terminals in southeast Texas, on the U.S. Gulf Coast. Jefferson Terminal’s largest capacity port terminal is located at the Port of Beaumont, which is a deep-water port complex on the Sabine-Neches Waterway and among the busiest cargo ports in the United States (the “Port”). Jefferson Terminal leases 185 developed or developable waterfront acres from the Port. As part of the lease, Jefferson Terminal holds an exclusive right to operate as the sole handler of liquid hydrocarbons at the Port.</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its leased land, Jefferson Terminal has developed a large multi-modal crude oil and refined products storage, transloading and handling terminal. As part of a public-private strategy for the terminal build-out, the terminal improvements located on the Port’s land are generally owned by the Port, and operated and managed by Jefferson Terminal under a long-term lease. Some terminal improvements and equipment at the Port are owned by Jefferson Terminal and Jefferson Terminal also owns and operates various facilities and assets located outside of the Port’s land, including pipelines for transportation of crude oil and refined products into and out of the terminal.</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Due to the success of this integrated public-private build-out approach, Jefferson Terminal’s main port terminal has a unique combination of six rail loop tracks with direct rail service from three Class I railroads, multiple direct pipeline connections to major refineries and interstate pipeline systems, three docks for loading and unloading barges and deep-water marine vessels, 6.2 million barrels of heated and unheated storage tanks, and facilities that are equipped to handle multiple types of products, including refined products and both light and heavy grade crude oils (with the ability to heat heavy crude for unloading prior to storing and blending), coupled with a prime location in the heart of a region that is home to refineries collectively representing an estimated 2.7 million barrels per day of refining capacity.</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Its prime location and extensive optionality make Jefferson Terminal’s main port terminal well suited to provide logistics solutions to customers that include regional and global refiners, with the ability to offer a suite of services including heating, blending, storage, and multi-modal receipt and redelivery. At this location, Jefferson Terminal handles, stores, and blends light and heavy crudes received by pipeline, rail or waterborne transportation from most major North American production markets, including the Uinta Basin, the Permian Basin, and Western Canada, for onward transportation to domestic destinations and international markets; as well as storing and handling refined products, including automotive gasoline, diesel fuel, and other products, destined for domestic and foreign markets in North and South America.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jc w:val="both"/>
        <w:spacing w:after="0" w:line="261" w:lineRule="auto"/>
        <w:rPr>
          <w:sz w:val="20"/>
          <w:szCs w:val="20"/>
          <w:color w:val="auto"/>
        </w:rPr>
      </w:pPr>
      <w:r>
        <w:rPr>
          <w:rFonts w:ascii="Arial" w:cs="Arial" w:eastAsia="Arial" w:hAnsi="Arial"/>
          <w:sz w:val="16"/>
          <w:szCs w:val="16"/>
          <w:color w:val="auto"/>
        </w:rPr>
        <w:t>Heavy crude oils, such as those produced in Utah and Western Canada, are in high demand on the Gulf Coast, as many of these refineries are specifically configured to process heavier feedstocks. As the production of North American heavy crude grows, the resulting high demand for infrastructure capable of handling this type of crude provides opportunities for well-positioned Gulf Coast terminals. Increased production of North American heavy crude in excess of existing takeaway capacity is expected to increase demand for crude-by-rail transportation to the Gulf Coast, as the high viscosity of heavy and waxy crude makes it well-suited for transport by rail (as opposed to pipeline). Jefferson Terminal’s main location is one of only a few terminals on the Gulf Coast that has heated rail unloading systems specifically capable of handling these heavier grades of crude received by rail.</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International demand for U.S.-sourced refined products continues to increase. This has spurred a rapid need for rail and marine terminal facilities, as well as storage capacity on both sides of the U.S.-Mexico border and other locations in Latin America. To meet such increased demand, Jefferson Terminal, utilizing the flexibility of the facilities at its main terminal location, operates a refined products export system consisting of receiving several grades of refined products by direct pipeline connections from a large area refinery and from inland barge, storing the various products in 20 tanks with a combined capacity of approximately 3.2 million barrels, and loading the products to ships, barges, and unit trains via its rail facilities consisting of a 20 spot rail car loading system with the capacity to load approximately 70,000 barrels per day. The capabilities and optionality provided by its facilities, illustrated by this current functionality, make Jefferson Terminal’s main location one of the premier international refined products export terminals in the U.S. Gulf Coast.</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to its main terminal located at the Port, Jefferson Terminal has an approximately 605-acre industrial property and port terminal complex located in Nederland, Texas (“Jefferson Terminal South”). The Jefferson Terminal South complex is equipped with barge docks, a deep-water ship dock, and rail facilities capable of handling multiple specialty chemicals including ammonia and aniline. Jefferson Terminal owns approximately 553 acres of the land at Jefferson Terminal South and leases an additional 52 acres. Further to the success of the public-private build-out of its primary terminal location, Jefferson Terminal conveyed a 52-acre waterfront area of Jefferson Terminal South to the Port for purposes of development, with the grant by the Port of a long-term lease of the land and assets to Jefferson Terminal. Under the lease, Jefferson Terminal develops and operates the property.</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Jefferson Terminal has developed a new ship dock at Jefferson Terminal South to handle blue ammonia for adjacently-located customers under 15-year throughput agreements. Jefferson Terminal is also currently exploring multiple opportunities for future development at Jefferson Terminal South. At the main terminal location, Jefferson Terminal’s recent expansion projects included the construction of a second ship dock, which was completed in 2023, as well as the completion of 10 new tanks and related infrastructure, representing approximately 1.9 million barrels of storage capacity. In response to customer demand, Jefferson Terminal is currently undertaking a project that will equip an existing, operational 14-mile crude oil pipeline with bi-directional flow capability, enabling Jefferson Terminal’s customers to access light crude oil volumes from multiple sources.</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its activities at the Jefferson Terminal main location and Jefferson Terminal South, Jefferson Terminal owns several other energy and infrastructure-related assets, including 299 tank railcars for the purpose of leasing to third parties; pipeline rights-of-way; as well as an approximately 50-acre property with inter-coastal waterway access. These assets can be deployed or developed in the future to meet market demands for transportation and logistics, and if successfully deployed or developed, may represent additional opportunities to generate stable, recurring cash flow.</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Repauno</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2016, through Delaware River Partners LLC (“DRP”), a consolidated subsidiary, FTAI purchased the assets of Repauno, which consisted primarily of land, a storage cavern, and riparian rights for the acquired land, site improvements and rights. We currently hold an approximately 98% economic interest, and a 100% voting interest in DRP. Prior to completion of our debt offering at Repauno in May 2025 (refer to Note 8 for additional details), DRP was solely reliant on us to finance its activities and therefore is a variable interest entity (“VIE”). We concluded that we were the primary beneficiary and, accordingly, DRP was presented on a consolidated basis in the accompanying financial statements. Due to the debt offering at Repauno in May 2025, Repauno is sufficiently capitalized, and therefore, is no longer considered a VIE; this change in classification does not have a financial impact on the Company’s financial statements.</w:t>
      </w:r>
    </w:p>
    <w:p>
      <w:pPr>
        <w:spacing w:after="0" w:line="2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one of the newest marine terminals on the Delaware River, Repauno is uniquely positioned as a premier multimodal facility on the Atlantic Seaboard. The deep-water terminal is located on 1,600 acres in Gibbstown, New Jersey with underground granite storage cavern infrastructure, a multipurpose dock and convenient truck access to two major interstate highways.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Shortly after the end of 2020, DRP completed its state-of-the-art rail-to-ship transloading system. This allows DRP to load or unload Liquified Petroleum Gas (“LPG”) marine vessels from its new wharf, including 17 fully refrigerated LPG marine vessels loaded in 2025. As one of the newest marine terminals on the Delaware River, Repauno is designed to safely and efficiently handle a wide variety of freight, providing critical logistics services to a multitude of industrial segments. In addition, Repauno is expanding its storage and transloading capacity, and pursuing accretive sustainable energy projects such as the export of green hydrogen.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00497F"/>
        </w:rPr>
        <w:t>The following primarily comprise our Power and Gas business: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 Ridge Energy &amp; Power</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2017, through Ohio River Partners Shareholder LLC (“ORP”), a consolidated subsidiary, FTAI purchased 100% of the interests in the assets of Long Ridge Energy &amp; Power LLC (“Long Ridge”), which consisted primarily of land, buildings, railroad track, docks, water rights, site improvements and other rights. In December 2019, ORP contributed its equity interests in Long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6"/>
          <w:szCs w:val="16"/>
          <w:color w:val="auto"/>
        </w:rPr>
        <w:t>Ridge into Long Ridge Terminal LLC and sold a 49.9% interest to Labor Impact Fund L.P., an investment fund managed by GCM Grosvenor, for $150 million in cash.</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a result of the sale of the interest noted above, the Company decreased its interest and no longer controlled Long Ridge but retained significant influence, and therefore used the equity method of accounting to account for its investment.</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October 2021, Long Ridge completed the construction of its now fully functional 485-megawatt combined-cycle power plant at the site and the associated plans to self-supply the natural gas fuel requirements for the plant. Long Ridge operates one of the Appalachian Basin’s leading multimodal energy terminals, with nearly 300 acres of flat land, two barge docks on the Ohio River, a unit-train-capable loop track and direct highway access.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Long Ridge continues to evaluate opportunities to deploy its assets for sustainable and traditional energy projects and other value-driving enterprises, including artificial intelligence data centers.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Long Ridge continues to explore its ability to eventually run its power plant on carbon-free hydrogen. In April 2022, Long Ridge, in collaboration with General Electric, became the first large scale gas power plant in the U.S. to test blend hydrogen as a fuel and has continued to evaluate opportunities for plant integration of hydrogen blending and to ensure safe and reliable industrial practices.</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2022, Long Ridge West Virginia LLC (“Long Ridge WV”) purchased rights to natural gas properties in West Virginia. Long Ridge WV is focusing on energy and gas development in the West Virginia region.</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February 19, 2025, Long Ridge completed a comprehensive refinancing of its business, which included the issuance of $1.0 billion of debt securities which were used to: 1) repay existing outstanding indebtedness, 2) terminate certain power swap agreements and reprice two others at significantly higher prices, 3) pay fees and expenses associated with the refinancing, 4) fund certain reserve accounts and 5) fund general corporate purposes. Refer to the Company’s Form 8-K which was filed with the Securities and Exchange Commission on February 25, 2025 for further information on the refinancing. As part of the refinancing, Long Ridge WV, a company owned by us and Labor Impact Fund L.P. in the same proportion as Long Ridge, was contributed to Long Ridge Energy LLC, a 100% owned subsidiary of Long Ridge, as part of the refinancing.</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February 26, 2025, we repurchased from Labor Impact Fund L.P. its 49.9% interest for certain equity and debt securities along with cash. Accordingly, commencing in the first quarter of 2025, we began fully consolidating the assets, liabilities and results of operations of Long Ridge into our financial statements. Refer to Note 3 and the Company’s Form 8-K which was filed with the Securities and Exchange Commission on February 27, 2025 for further information on the acquisition of the remaining 49.9% interest.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As announced previously by the Company, we are still evaluating strategic alternatives for Long Ridge, including a potential sale of Long Ridge.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00497F"/>
        </w:rPr>
        <w:t>The following primarily comprise our Sustainability and Energy Transition business: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Aleon and Gladieux</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September 2021, FTAI acquired 1% of the Class A shares and 50% of the Class B shares of GM-FTAI Holdco LLC for $52.5 million. GM-FTAI Holdco LLC owns a 100% interest in Gladieux and Aleon. Gladieux specializes in recycling spent catalyst produced in the petroleum refining industry. Aleon plans to develop a lithium-ion battery recycling business across the United States. Each planned location will collect, discharge and disassemble lithium-ion batteries to extract various metals in high-purity form for resale into the lithium-ion battery production market. Aleon and Gladieux are governed by separate boards of directors. Due to an internal reorganization of GM-FTAI Holdco LLC in June 2022, we now own a 27.4% indirect equity interest in each of Gladieux and Aleon.</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Clean Planet Group</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November 19, 2021, FTAI and UK green-tech company Clean Planet Energy announced the formation of a joint venture partnership to develop Clean Planet USA ecoPlants in key North American markets. The Clean Planet USA business development team is advancing multiple projects with agreements in place for plastic-waste supply in Alabama, South Carolina and other North American markets.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Clean Planet USA ecoPlants are green recycling facilities that convert traditionally non-recyclable waste plastics into ultra-clean fuels and oils, and circular naphtha to support the manufacture of new plastics. An ecoPlant can accept and process plastics from most classifications, including those which are almost always rejected by traditional recycling centers and sent to landfill or incineration.</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22, 2025, we sold our investment in Clean Planet USA and acquired a new investment in Clean Planet USA’s parent company, Pyroplast Energy LTD (“Clean Planet Group”). See Note 6 for further details.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CarbonFree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December 2021, FTAI purchased $10 million in convertible notes of CarbonFree. CarbonFree has developed patented technologies to capture carbon dioxide from industrial emissions sources and convert it to usable and storable products.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00497F"/>
        </w:rPr>
        <w:t>Our other opportunistic investments include: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FYX</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July 2020, FTAI invested $1.3 million for a 14% interest in an operating company that provides roadside assistance services for the intermodal and over-the-road trucking industries. FYX has developed a mobile and web-based application that connects fleet managers, owner-operators, and drivers with repair vendors to efficiently and reliably quote, dispatch, monitor, and bill comprehensive roadside and fleet repair services. In May 2022, FTAI purchased an additional 51% interest in FYX from an unrelated third party for cash consideration of $4.6 million, which resulted in our ownership of a majority stake in the entity and consolidation of the entity, and subsequently purchased an additional approximate 1% interest in FYX for cash consideration of $0.1 million. In March 2023, we purchased the remaining non-controlling interest of FYX from an affiliate of our Manager for a purchase price of $4.4 million. This resulted in 100% ownership in FYX and the elimination of any non-controlling interest. FYX is currently presented as part of the Corporate and Other segment.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Management</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Manager actively manages and monitors our portfolios of assets on an ongoing basis, and in some cases engages third parties to assist with the management of those assets. Our Manager frequently reviews the status of all of our assets. In the case of operating infrastructure, our Manager plays a central role in developing and executing operational, finance and business development strategies. On a periodic basis, our Manager discusses the status of our acquired assets with our board of directors.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some situations, we may acquire assets through a joint venture entity or own a minority position in an investment entity. In such circumstances, we will seek to protect our interests through appropriate levels of board representation, minority protections and other structural enhancements.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While we expect to hold our assets for extended periods of time, we and our Manager continually review our assets to assess whether we should sell or otherwise monetize them. Aspects that will factor into this process include relevant market conditions, the asset’s age, relative concentration or remaining expected useful life.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Customers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customers consist of global industrial and energy companies, including corporations that refine crude oil and trade petroleum products, manufacturers and local electricity markets and traders. We maintain ongoing relationships and discussions with our customers and seek to have consistent dialogue. In addition to helping us monitor the needs and quality of our customers, we believe these relationships help source additional opportunities and gain insight into attractive opportunities in the infrastructure sectors. A substantial portion of our revenue has historically been derived from a small number of customers. As of and for the year ended December 31, 2025, our largest customer accounted for 27% of our revenue and 17% of total accounts receivable, net. We derive a significant percentage of our revenue within specific sectors from a limited number of customers. Specifically, we earned approximately 10%, 13% and 12% of our consolidated revenue for the years ended December 31, 2025, 2024 and 2023 from one customer within the Jefferson Terminal segment, respectively, and 32%, 50% and 51% of our consolidated revenue from one customer within the Railroad segment during the years ended December 31, 2025, 2024 and 2023, respectively. As of December 31, 2025, accounts receivable from three customers within the Jefferson Terminal, Railroad and Power and Gas segments represented 41% of total accounts receivable, net. However, we do not think that we are dependent upon any particular customer without minimum volume commitments, or that the loss of one or more of them would have a material adverse effect on our business or the relevant segment, because of our ability to replace the customers at similar contractual terms following the loss of any such customer. See “Risk Factors—Contractual defaults may adversely affect our business, prospects, financial condition, results of operations and cash flows by decreasing revenues and increasing storage, positioning, collection, recovery and lost equipment expenses.”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Competition</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business of acquiring, managing and marketing infrastructure assets is highly competitive. Market competition for acquisition opportunities includes traditional infrastructure companies, commercial and investment banks, as well as a growing number of non-traditional participants, such as hedge funds, private equity funds, and other private investors.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Additionally, the markets for our products and services are competitive, and we face competition from a number of sources. These competitors include companies in the midstream energy business, terminal operators and those involved in the transportation of bulk goods. Specifically, our Railroad segment faces competition from other railroads, motor carriers, ships, barges and pipelines. We operate in some corridors served by other railroads and motor carriers.</w:t>
      </w:r>
    </w:p>
    <w:p>
      <w:pPr>
        <w:spacing w:after="0" w:line="2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compete with other market participants on the basis of industry knowledge, availability of capital and deal structuring experience and flexibility, among other things. We believe our Manager’s experience in the infrastructure industry and our access to capital, in addition to our focus on diverse asset classes and customers, provides a competitive advantage versus competitors that maintain a single sector focus.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Governmental Regulations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jc w:val="both"/>
        <w:ind w:right="20"/>
        <w:spacing w:after="0" w:line="265" w:lineRule="auto"/>
        <w:rPr>
          <w:sz w:val="20"/>
          <w:szCs w:val="20"/>
          <w:color w:val="auto"/>
        </w:rPr>
      </w:pPr>
      <w:r>
        <w:rPr>
          <w:rFonts w:ascii="Arial" w:cs="Arial" w:eastAsia="Arial" w:hAnsi="Arial"/>
          <w:sz w:val="16"/>
          <w:szCs w:val="16"/>
          <w:color w:val="auto"/>
        </w:rPr>
        <w:t>and certain other countries, strict liability may be imposed on the owners or operators of assets, which could render us liable for environmental and natural resource damages without regard to negligence or fault on our part. In addition, changes to environmental standards or regulations in the industries in which we operate could limit the economic life of the assets we acquire or reduce their value, and also require us to make significant additional investments in order to maintain compliance.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Sustainability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ongoing sustainable solutions and investments in our business include the following:</w:t>
      </w:r>
    </w:p>
    <w:p>
      <w:pPr>
        <w:spacing w:after="0" w:line="113" w:lineRule="exact"/>
        <w:rPr>
          <w:sz w:val="20"/>
          <w:szCs w:val="20"/>
          <w:color w:val="auto"/>
        </w:rPr>
      </w:pPr>
    </w:p>
    <w:p>
      <w:pPr>
        <w:jc w:val="both"/>
        <w:ind w:left="660" w:right="20" w:hanging="328"/>
        <w:spacing w:after="0" w:line="27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Waste plastic to renewable fuel</w:t>
      </w:r>
      <w:r>
        <w:rPr>
          <w:rFonts w:ascii="Arial" w:cs="Arial" w:eastAsia="Arial" w:hAnsi="Arial"/>
          <w:sz w:val="16"/>
          <w:szCs w:val="16"/>
          <w:color w:val="auto"/>
        </w:rPr>
        <w:t>. In November 2021, FTAI announced a joint venture with Clean Planet Energy, a UK-based green tech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that aims to develop Clean Planet Energy USA ecoPlants in key North American markets (refer to Note 6 for further details on this investment). The ecoPlants will be designed to convert non-recyclable waste plastics (which are typically destined for landfill) into ultra-clean fuels and oils to support the manufacture of new plastics.</w:t>
      </w:r>
    </w:p>
    <w:p>
      <w:pPr>
        <w:spacing w:after="0" w:line="59" w:lineRule="exact"/>
        <w:rPr>
          <w:rFonts w:ascii="Arial" w:cs="Arial" w:eastAsia="Arial" w:hAnsi="Arial"/>
          <w:sz w:val="16"/>
          <w:szCs w:val="16"/>
          <w:color w:val="auto"/>
        </w:rPr>
      </w:pPr>
    </w:p>
    <w:p>
      <w:pPr>
        <w:jc w:val="both"/>
        <w:ind w:left="6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Hydrogen-fueled power plant</w:t>
      </w:r>
      <w:r>
        <w:rPr>
          <w:rFonts w:ascii="Arial" w:cs="Arial" w:eastAsia="Arial" w:hAnsi="Arial"/>
          <w:sz w:val="16"/>
          <w:szCs w:val="16"/>
          <w:color w:val="auto"/>
        </w:rPr>
        <w:t>. In October 2020, Long Ridge, located in Hannibal, Ohio, announced its plan to transition its 485-megawatt</w:t>
      </w:r>
      <w:r>
        <w:rPr>
          <w:rFonts w:ascii="Arial" w:cs="Arial" w:eastAsia="Arial" w:hAnsi="Arial"/>
          <w:sz w:val="16"/>
          <w:szCs w:val="16"/>
          <w:b w:val="1"/>
          <w:bCs w:val="1"/>
          <w:color w:val="auto"/>
        </w:rPr>
        <w:t xml:space="preserve"> </w:t>
      </w:r>
      <w:r>
        <w:rPr>
          <w:rFonts w:ascii="Arial" w:cs="Arial" w:eastAsia="Arial" w:hAnsi="Arial"/>
          <w:sz w:val="16"/>
          <w:szCs w:val="16"/>
          <w:color w:val="auto"/>
        </w:rPr>
        <w:t>combined-cycle power plant to run on carbon-free hydrogen, in collaboration with General Electric, Kiewit Power Constructors Co., Black &amp; Veatch and NAES Corporation. In April 2022, Long Ridge became the first large scale gas power plant in the U.S. to blend hydrogen as a fuel. This is also the first GE-H class turbine in the world to achieve this milestone. The plant is anticipated to be transitioned to be capable of burning 100% green hydrogen over the next decade.</w:t>
      </w:r>
    </w:p>
    <w:p>
      <w:pPr>
        <w:spacing w:after="0" w:line="8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Carbon capture</w:t>
      </w:r>
      <w:r>
        <w:rPr>
          <w:rFonts w:ascii="Arial" w:cs="Arial" w:eastAsia="Arial" w:hAnsi="Arial"/>
          <w:sz w:val="16"/>
          <w:szCs w:val="16"/>
          <w:color w:val="auto"/>
        </w:rPr>
        <w:t>. In December 2021, FTAI invested in CarbonFree, whose operations are intended to capture carbon from industrial emitters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convert it to beneficial products that also sequester the carbon permanently.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Human Capital Management</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Manager provides a management team and other professionals who are responsible for implementing our business strategy and performing certain services for us, subject to oversight by our board of directors. As of December 31, 2025, we have approximately 1,110 employees at our subsidiaries across our business segments, approximately 640 of whom are party to collective bargaining agreements. We consider our relationship with our employees to be good and we focus heavily on employee engagement. We have invested substantial time and resources into building our team, and our human capital management objectives include, as applicable, identifying, recruiting, retaining, incentivizing and integrating our existing and new employees. To facilitate attraction and retention, we strive to create a diverse, inclusive, and safe workplace, with opportunities for our employees to grow and develop in their careers, supported by strong compensation and benefits programs.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Conflicts of Interest</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 Below is a summary of certain factors that could result in conflicts of interest.</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One or more of our officers and directors have responsibilities and commitments to entities other than us, including, but not limited to, FTAI. In addition, we do not have a policy that expressly prohibits our directors, officers, security holders or affiliates from engaging for their own account in business activities of the types conducted by us. Moreover, our certificate of incorporation provides that if any of FTAI, Fortress or Mubadala and their respective affiliates, including the Manager (the “Fortress Parties”), or any of their officers, directors or employees acquire knowledge of a potential transaction that could be a corporate opportunity for us, they have no duty, to the fullest extent permitted by law, to offer such corporate opportunity to us. In the event that any of our directors and officers who is also a director, officer or employee of any of the Fortress Parties acquires knowledge of a corporate opportunity or is offered a corporate opportunity, provided that this knowledge was not acquired solely in such person’s capacity as a director or officer of us and such person acts in good faith, then such person is deemed to have fully satisfied such person’s fiduciary duties owed to us and is not liable to us, to the fullest extent permitted by law, if any of the Fortress Parties or their respective affiliates, pursues or acquires the corporate opportunity or if such person does not present the corporate opportunity to us. See “Risk Factors—Risks Related to Our Manager—There are conflicts of interest in our relationship with our Manager.”</w:t>
      </w:r>
    </w:p>
    <w:p>
      <w:pPr>
        <w:spacing w:after="0" w:line="7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Our key agreements, including our Management Agreement, were negotiated among related parties, and their respective terms, including fees and other amounts payable, may not be as favorable to us as terms negotiated on an arm’s-length basis with unaffiliated parties.</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structure of the Manager’s compensation arrangement may have unintended consequences for us. We have agreed to pay our Manager a management fee that is not tied to our performance and incentive compensation that is based entirely on our performance. The management fee may not sufficiently incentivize our Manager to generate attractive risk-adjusted returns for us, while the performance-based incentive compensation component may cause our Manager to place undue emphasis on the maximization of earnings, including through the use of leverage, at the expense of other objectives, such as preservation of capital, to achieve higher incentive distributions. Since investments with higher yield potential are generally riskier or more speculative than investments with lower yield potential, this could result in increased risk to the value of our portfolio of assets and your investment in us.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p>
      <w:pPr>
        <w:jc w:val="both"/>
        <w:spacing w:after="0" w:line="261" w:lineRule="auto"/>
        <w:rPr>
          <w:sz w:val="20"/>
          <w:szCs w:val="20"/>
          <w:color w:val="auto"/>
        </w:rPr>
      </w:pPr>
      <w:r>
        <w:rPr>
          <w:rFonts w:ascii="Arial" w:cs="Arial" w:eastAsia="Arial" w:hAnsi="Arial"/>
          <w:sz w:val="16"/>
          <w:szCs w:val="16"/>
          <w:color w:val="auto"/>
        </w:rPr>
        <w:t>We may compete with entities affiliated with or managed by our Manager or Fortress for certain assets that we may seek to acquire. From time to time, entities affiliated with or managed by our Manager or Fortress may focus on investments in assets with a similar profile as our target assets. These affiliates may have meaningful purchasing capacity, which may change over time depending upon a variety of factors, including, but not limited to, available equity capital and debt financing, market conditions and cash on hand. Fortress has funds invested in transportation-related infrastructure with approximately $3.9 billion in investments in aggregate as of December 31, 2025 and 2024. Fortress funds generally have a fee structure similar to the structure of the fees in our Management Agreement, but the fees actually paid vary depending on the size, terms and performance of each fund.</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Manager may determine, in its discretion, to make a particular investment through an investment vehicle other than us. Investment allocation decisions will reflect a variety of factors, such as a particular vehicle’s availability of capital (including financing), investment objectives and concentration limits, legal, regulatory, tax and other similar considerations, the source of the investment opportunity and other factors that the Manager, in its discretion, deems appropriate. Our Manager does not have an obligation to offer us the opportunity to participate in any particular investment, even if it meets our investment objectives.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Where Readers Can Find Additional Information</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FTAI Infrastructure Inc. is a Delaware corporation. Our principal executive offices are located at 1345 Avenue of the Americas, New York, New York 10105. FTAI Infrastructure Inc. files annual, quarterly and current reports, proxy statements and other information required by the Securities Exchange Act of 1934, as amended (the “Exchange Act”), with the SEC. Our SEC filings are available to the public from the SEC’s internet site at http://www.sec.gov.</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internet site is http://www.fipinc.com. We will make available free of charge through our internet 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in the ‘‘Investor Relations - Corporate Governance’’ section are charters for our Audit Committee, Compensation Committee, Nominating Committee, as well as our Corporate Governance Guidelines, Code of Ethics for our officers, and our Code of Business Conduct and Ethics governing our directors, officers and employees. Information on, or accessible through, our website is not a part of, and is not incorporated into, this report.</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1A. Risk Factors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10-K in evaluating us and our common stock.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groups: risks related to our business, risks related to our capital structure, risks related to our Manager, risks related to the spin-off, risks related to the Wheeling acquisition and risks related to our common stock. However, these categories do overlap and should not be considered exclusive.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We have limited operating history as an independent company and may not be able to successfully operate our business strategy, generate sufficient revenue to make or sustain distributions to our stockholders or meet our contractual commitments.</w:t>
      </w:r>
    </w:p>
    <w:p>
      <w:pPr>
        <w:spacing w:after="0" w:line="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limited experience operating as an independent company and cannot assure you that we will be able to successfully operate our business or implement our operating policies and strategies as described in this report. The timing, terms, price and form of consideration that we pay in future transactions may vary meaningfully from prior transactions.</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an independent public company, there can be no assurance that we will be able to generate sufficient returns to pay our operating expenses and make or sustain distributions to our stockholders, or any distributions at all, or meet our contractual commitments. Our results of operations, ability to make or sustain distributions to our stockholders or meet our contractual commitments depend on several factors, including the availability of opportunities to acquire attractive assets, the level and volatility of interest rates, the availability of adequate short- and long-term financing, the financial markets and economic conditions.</w:t>
      </w:r>
    </w:p>
    <w:p>
      <w:pPr>
        <w:spacing w:after="0" w:line="2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limit our ability to obtain additional capital to finance new investments or refinance existing debt, or have other unforeseen negative effects.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have created in the past and may continue to create difficult operating environments for owners and operators in the infrastructure industry. Many factors, including factors that are beyond our control, may impact our operating results or financial condition. For some years, the world has experienced weakened economic conditions and volatility following adverse changes in global capital markets. Volatility in oil and gas markets can put significant upward or downward pressure on prices for these commodities, and may affect demand for assets used in production, refining and transportation of oil and gas. Additionally, the worldwide military or geopolitical environment, including the Russia-Ukraine conflict and the conflicts in the Middle East and any related geopolitical or economic responses, U.S. federal government shutdowns, global macroeconomic effects of trade disputes and increased tariffs, such as those imposed, or that may be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jc w:val="both"/>
        <w:spacing w:after="0" w:line="265" w:lineRule="auto"/>
        <w:rPr>
          <w:sz w:val="20"/>
          <w:szCs w:val="20"/>
          <w:color w:val="auto"/>
        </w:rPr>
      </w:pPr>
      <w:r>
        <w:rPr>
          <w:rFonts w:ascii="Arial" w:cs="Arial" w:eastAsia="Arial" w:hAnsi="Arial"/>
          <w:sz w:val="16"/>
          <w:szCs w:val="16"/>
          <w:color w:val="auto"/>
        </w:rPr>
        <w:t>imposed, by the U.S., may put further upward or downward pressure on prices for such commodities. In the past, a significant decline in oil prices has led to lower production and transportation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asset values have declined, particularly during the most recent economic downturn, and any future oversupply could materially adversely affect our results of operations and cash flows.</w:t>
      </w:r>
    </w:p>
    <w:p>
      <w:pPr>
        <w:spacing w:after="0" w:line="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oversupply of a specific asset is likely to depress the value of our assets and result in decreased utilization of our assets, and the industries in which we operate have experienced periods of oversupply during which asset values have declined, particularly during the most recent economic downturn. Factors that could lead to such oversupply include, without limitation:</w:t>
      </w:r>
    </w:p>
    <w:p>
      <w:pPr>
        <w:spacing w:after="0" w:line="56"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governmental regulation or economic trade or other policies, including as a result of changing trade policies and tariffs, including related uncertainty or the imposition of modified or additional tariffs, trade wars, barriers or restrictions, or threats of such actions;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our customers;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geopolitical approach to infrastructure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flows.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jc w:val="both"/>
        <w:spacing w:after="0" w:line="294"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contractual arrangements. Inherent in the nature of the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contractual arrangement. In addition, when counterparties default, we may fail to recover all of our assets, and the assets we do recover may be returned in damaged condition or to locations where we will not be able to efficiently use or sell them.</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4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Furthermore, as a result of the spin-off transaction, our assets are focused on infrastructure and we do not have any interest in FTAI’s aviation assets, which limits the diversity of our portfolio. Any decrease in the value and rates of our assets may have a material adverse effect on our business, prospects, financial condition, results of operations and cash flows.</w:t>
      </w:r>
    </w:p>
    <w:p>
      <w:pPr>
        <w:spacing w:after="0" w:line="8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and our subsidiaries’ indebtedness and preferred stock.</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ability to make payments on our and our subsidiaries’ indebtedness and preferred stock as required depends on our and our subsidiaries’ ability to generate cash flow in the future. This ability, to a certain extent, is subject to general economic, financial, competitive, legislative, regulatory and other factors that are beyond our control. If we or our subsidiaries do not generate sufficient free cash flow to satisfy our or our subsidiaries’ debt or preferred stock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or preferred stock instruments then in effect. Furthermore, our ability to refinance would depend upon the condition of the finance and credit markets. Our inability to generate sufficient free cash flow to satisfy our and our subsidiaries’ debt and preferred stock obligations, or to refinance our and our subsidiaries’ obligations on commercially reasonable terms or on a timely basis, would materially affect our business,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business of acquiring infrastructure assets is highly competitive. Market competition for opportunities includes traditional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general economic and market conditions affecting our target markets, type and age of assets, supply and demand for assets, competition, new governmental or other regulations and technological advances, all of which could impact our profitability and our ability to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Statements of Operations and such charge could be material.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4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received in the spin-off, and may in the future acquire, operating businesses, including businesses whose operations are not fully matured and stabilized (including, but not limited to, our businesses within the Railroad, Jefferson Terminal, Repauno, Power and Gas, and Sustainability and Energy Transition segments). While our Manager has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64"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11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113"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56"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recent geopolitical events;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received in the spin-off, and may in the future acquire, interests in certain assets in cooperation with third-party partners or co-investors through jointly 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 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7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If we are not able to acquire new technology or are unable to implement new technology, we may suffer a competitive disadvantage. For example, as the freight transportation markets we serve continue to evolve and become more efficient, the use of certain locomotives or railcars may decline in favor of other more economic modes of transportation. If the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16"/>
          <w:szCs w:val="16"/>
          <w:color w:val="auto"/>
        </w:rPr>
        <w:t>technology we use in our lines of business is superseded, or the cost of replacing our locomotives or railcars is expensive and requires additional capital, we could experience significant cost increases and reduced availability of the assets and equipment that are necessary for our operations. Any of these risks may adversely affect our ability to sell our assets on favorable terms, if at all, which could materially adversely affect our operating results and growth prospects.</w:t>
      </w:r>
    </w:p>
    <w:p>
      <w:pPr>
        <w:spacing w:after="0" w:line="27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EPA”), the U.S. Department of Transportation (the “DOT”), the Occupational Safety and Health Act (the “OSHA”), the U.S. Federal Railroad Administration (the “FRA”), and the U.S. Surface Transportation Board (the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that our rail operations are, and have been,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the STB’s recent proposal to modify its policy regarding forced reciprocal switching by rail carriers or other competitive access proposals, if adopted, could increase government involvement in railroad pricing, service and operations and significantly change the current federal regulatory framework of the railroad industry. Such changes could have a significant negative impact on the Company’s ability to determine prices for rail services, meet service standards and could force a reduction in capital spending. Statutes imposing price constraints or affecting rail-to-rail competition could adversely affect the Company’s profitability.</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various U.S.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trains or facilities or discover historical releases that were previously unidentified or not assessed. Although our inspection and testing programs are designed to prevent, detect and address any such releases promptly, the liabilities resulting from any future releases into the environment from our assets, have the potential to substantially affect our business. Such events could also subject us to media and public scrutiny that could have a negative effect on our operations and also on the value of our common stock.</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spacing w:after="0" w:line="28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business is subject to evolving regulations regarding railcar design and the transportation of hazardous materials. Following the 2023 East Palestine derailment, authorities have accelerated safety mandates, including the final transition to DOT-117 tank cars. As of May 2025, legacy CPC-1232 cars are largely prohibited from crude and ethanol service, with a final deadline of May 1, 2029, for all other flammable liquids.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jc w:val="both"/>
        <w:spacing w:after="0" w:line="265" w:lineRule="auto"/>
        <w:rPr>
          <w:sz w:val="20"/>
          <w:szCs w:val="20"/>
          <w:color w:val="auto"/>
        </w:rPr>
      </w:pPr>
      <w:r>
        <w:rPr>
          <w:rFonts w:ascii="Arial" w:cs="Arial" w:eastAsia="Arial" w:hAnsi="Arial"/>
          <w:sz w:val="16"/>
          <w:szCs w:val="16"/>
          <w:color w:val="auto"/>
        </w:rPr>
        <w:t>To mitigate the costs of retrofitting our fleet of railcars at Jefferson and the risks of stricter operational controls, we are increasingly focusing our business development on customers and commodities that do not involve the movement of hazardous materials. Despite this shift, any additional federal or provincial mandates—such as real-time reporting requirements or speed restrictions—could still increase compliance costs. Furthermore, railroad service disruptions due to labor disputes, mechanical failures, or extreme weather could adversely affect our operations and financial results.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negatively impacted by environmental, social, and governance (“ESG”) and sustainability-related matters.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Governments, investors, customers, employees and other stakeholders are increasingly focusing on corporate ESG practices and disclosures, and expectations in this area continue to evolve. In addition, ESG laws and regulations are expanding mandatory disclosure, reporting and diligence requirements.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On the other hand, state attorneys general and other governmental authorities may take action against certain ESG policies or practices, and we may become subject to restrictions on ESG initiatives. If we fail or are perceived to have failed to achieve previously announced initiatives or goals, accurately disclose our progress on such initiatives or goals or comply with various ESG and anti-ESG practices and regulations, our reputation, business, financial condition and results of operations could be adversely impacted.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transport hazardous materials.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transport certain hazardous materials and other materials, including crude oil, ethanol, and toxic inhalation hazard (“TIH”) materials, such as chlorine, that pose certain risks in the event of a release or combustion. Additionally, U.S. laws impose common carrier obligations on railroads that require us to transport certain hazardous materials regardless of risk or potential exposure to loss. In addition, insurance premiums charged for, or the self-insured retention associated with, some or all of the coverage currently maintained by us could increase dramatically or certain coverage may not be available to us in the future if there is a catastrophic event related to rail transportation of these materials. A rail accident or other incident or accident on our network, at our facilities, or at the facilities of our customers involving the release or combustion of hazardous materials could involve significant costs and claims for personal injury, property damage, and environmental penalties and remediation in excess of our insurance coverage for these risks, which could have a material adverse effect on our results of operations, financial condition, and liquidity.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affected by fluctuating prices for fuel and energy.</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Volatility in energy prices could have a significant effect on a variety of items, including, but not limited to: the economy; demand for transportation services; business related to the energy sector, including the production and processing of crude oil, natural gas, and coal; fuel prices; and, fuel surcharges. Particularly in our rail business, fuel costs constitute a significant portion of our expenses. Diesel fuel prices and availability can be subject to dramatic fluctuations, and significant price increases could have a material adverse effect on our operating results. If a severe fuel supply shortage arose from production curtailments, disruption of oil imports or domestic oil production, disruption of domestic refinery production, damage to refinery or pipeline infrastructure, political unrest, war, terrorist attack or otherwise, diesel fuel may not be readily available and may be subject to rationing regulations. Currently, we receive fuel surcharges and other rate adjustments to offset fuel prices, although there may be a significant delay in our recovery of fuel costs based on the terms of the fuel surcharge program. If Class I railroads change their policies regarding fuel surcharges, the compensation we receive for increases in fuel costs may decrease, which could have a negative effect on our profitability; in fact, we cannot be certain that we will always be able to mitigate rising or elevated fuel costs through fuel surcharges at all, as future market conditions or legislative or regulatory activities could adversely affect our ability to apply fuel surcharges or adequately recover increased fuel costs through fuel surcharges.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p>
      <w:pPr>
        <w:jc w:val="both"/>
        <w:spacing w:after="0" w:line="261" w:lineRule="auto"/>
        <w:rPr>
          <w:sz w:val="20"/>
          <w:szCs w:val="20"/>
          <w:color w:val="auto"/>
        </w:rPr>
      </w:pPr>
      <w:r>
        <w:rPr>
          <w:rFonts w:ascii="Arial" w:cs="Arial" w:eastAsia="Arial" w:hAnsi="Arial"/>
          <w:sz w:val="16"/>
          <w:szCs w:val="16"/>
          <w:color w:val="auto"/>
        </w:rPr>
        <w:t>International, political, and economic factors, events and conditions and the potential for worsening economic conditions or economic downturn, including as a result of recent geopolitical events and changing trade policies and tariffs, including related uncertainty or the imposition of modified or additional tariffs, trade wars, barriers or restrictions, or threats of such actions, may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 In addition, lower fuel prices could have a negative impact on commodities we process and transport, such as crude oil and petroleum products, which could have a material adverse effect on our results of operations, financial condition, and liquidity.</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Because we depend on Class I railroads for a significant portion of our operations in North America, our results of operations, financial condition and liquidity may be adversely affected if our relationships with these carriers deteriorate.</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railroad industry in the United States and Canada is dominated by six Class I carriers that have substantial market control and negotiating leverage. In addition, Class I carriers also traditionally have been significant sources of business for us, and may be future sources of potential acquisition candidates as they divest branch lines. A decision by any of these Class I carriers to cease or re-route certain freight movements or to alter existing business relationships, including operational or relationship changes, could have a material adverse effect on our results of operations. The overall impact of any such decision would depend on which Class I carrier is involved, the routes and freight movements affected, as well as the nature of any changes.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Railroad segment faces competition from other railroads and other transportation providers.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Railroad segment faces competition from other railroads, motor carriers, ships, barges, and pipelines. We operate in some corridors served by other railroads and motor carriers. In addition to price competition, we face competition with respect to transit times, quality, and reliability of service from motor carriers and other railroads. Motor carriers in particular can have an advantage over railroads with respect to transit times and timeliness of service. However, railroads are much more fuel-efficient than trucks, which reduces the impact of transporting goods on the environment and public infrastructure. Additionally, we must build or acquire and maintain our rail system, while trucks, barges, and maritime operators are able to use public rights-of-way maintained by public entities. Any of the following could also affect the competitiveness of our rail services, which could have a material adverse effect on our results of operations, financial condition, and liquidity: (i) improvements or expenditures materially increasing the quality or reducing the costs of these alternative modes of transportation, such as autonomous or more fuel efficient trucks, (ii) legislation that eliminates or significantly increases the size or weight limitations applied to motor carriers, or (iii) legislation or regulatory changes that impose operating restrictions on railroads or that adversely affect the profitability of some or all railroad traffic. Additionally, any future consolidation of the rail industry could materially affect our competitive environment.</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events outside of our control which may disrupt our business and cause damage or losses that may not be adequately covered by insurance.</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operations of infrastructure projects are exposed to unplanned interruptions caused by breakdown or failure of equipment or plants, aging infrastructure, employee error or contractor or subcontractor failure, problems that delay or increase the cost of returning facilities to service after outages, limitations that may be imposed by equipment conditions or environmental, safety or other regulatory requirements, fuel supply or fuel transportation reductions or interruptions, labor disputes, difficulties with the implementation or operation of information systems, derailments, power outages, pipeline or electricity line ruptures and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We have in the past experienced power outages at plants which disrupted their operations and negatively impacted our revenues. We cannot assure you that similar events may not occur in the future.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w:t>
      </w:r>
    </w:p>
    <w:p>
      <w:pPr>
        <w:spacing w:after="0" w:line="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infrastructure sectors which could result in additional risks and uncertainties for our business and unexpected regulatory compliance costs.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While our existing portfolio consists of assets in the energy, port and rail sectors, we are actively evaluating potential acquisitions of assets and operating companies in other infrastructure sectors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infrastructure assets, including certain rail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6"/>
          <w:szCs w:val="16"/>
          <w:color w:val="auto"/>
        </w:rPr>
        <w:t>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Restrictive covenants in our and our subsidiaries’ debt and preferred stock instruments may adversely affect us.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instruments governing our and our subsidiaries’ outstanding debt and preferred stock contain, certain restrictive covenants that limit our ability to engage in activities that may be in our long-term best interests. For example, these covenants significantly restrict our and certain of our subsidiaries’ ability to:</w:t>
      </w:r>
    </w:p>
    <w:p>
      <w:pPr>
        <w:spacing w:after="0" w:line="61"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incur indebtedness;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issue equity interests of the Company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senior in priority to, our Series B Redeemable Convertible Preferred Stock;</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issue equity interests of any subsidiary of the Company;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 dividends or make other distributions;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repurchase or redeem capital stock or subordinated indebtedness and make investments;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create liens;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incur dividend or other payment restrictions affecting the Company and certain of its subsidiaries;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transfer or sell assets, including capital stock of subsidiaries;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merge or consolidate with other entities or transfer all or substantially all of the Company’s assets;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take actions to cause the Company to cease to be treated as a domestic C corporation for U.S. tax purposes;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consummate a change in control without concurrently redeeming the Series A Preferred Units and warrants of FIP RR Holdings LLC;</w:t>
      </w:r>
    </w:p>
    <w:p>
      <w:pPr>
        <w:spacing w:after="0" w:line="113"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amend, terminate or permit the assignment or subcontract of, or the transfer of any rights or obligations under, the Management Agreement, in order to alter the (i) scope of services in any material respect, (ii) the compensation, fee payment or other economic terms relating to the Management Agreement, or (iii) the scope of matters expressly required to be approved by the Independent Directors (as such term is defined in the Management Agreement) pursuant to the Management Agreement;</w:t>
      </w:r>
    </w:p>
    <w:p>
      <w:pPr>
        <w:spacing w:after="0" w:line="78"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engage in certain intercompany transactions;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engage in certain prohibited business activities;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enter into transactions with affiliates.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While these covenants are subject to a number of important exceptions and qualifications, such restrictive covenants could affect our ability to operate our business and may limit our ability to take advantage of potential business opportunities. Events beyond our control can affect our ability to comply with these covenants. If an event of default occurs, we cannot assure you that we would have sufficient assets to repay all of our obligations.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certain other debt instruments (including the Series 2020A Bonds, Series 2021 Bonds and Series 2024 Bonds, the EB-5 loan agreements, the Long Ridge Acquiom Loan, the RailCo Revolver and the June 2025 Jefferson Credit Agreement) and the Series A Preferred Units and warrants of FIP RR Holdings LLC include restrictive covenants that may materially limit our, or our subsidiaries’, ability to repay other debt or require us to achieve and maintain compliance with specified financial ratios. See “Description of Indebtedness” in the Information Statement filed with the SEC on Form 8-K on July 15, 2022 and Exhibits 10.11, 10.14 and 10.15 included herein.</w:t>
      </w:r>
    </w:p>
    <w:p>
      <w:pPr>
        <w:spacing w:after="0" w:line="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Terrorist attacks or other hostilities could negatively impact our operations and our profitability and may expose us to liability and reputational damage.</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including recent geopolitical events, could similarly affect world trade and the industries in which we and our customers operate. In addition, terrorist attacks or hostilities may directly impact locations where our trains and containers travel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ind w:right="20"/>
        <w:spacing w:after="0" w:line="286" w:lineRule="auto"/>
        <w:rPr>
          <w:sz w:val="20"/>
          <w:szCs w:val="20"/>
          <w:color w:val="auto"/>
        </w:rPr>
      </w:pPr>
      <w:r>
        <w:rPr>
          <w:rFonts w:ascii="Arial" w:cs="Arial" w:eastAsia="Arial" w:hAnsi="Arial"/>
          <w:sz w:val="16"/>
          <w:szCs w:val="16"/>
          <w:color w:val="auto"/>
        </w:rPr>
        <w:t>assets. If the appraised value of such assets declines, we may be required to reduce the principal outstanding under our debt facilities or otherwise be unable to incur new borrowings.</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61"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subject to federal, state and local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Under some environmental laws in the United States, strict liability may be imposed on the owners or operators of assets, which could render us liable for environmental and natural resource damages without regard to negligence or fault on our part.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prohibitions or severe restrictions on infrastructure development in certain areas,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276"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Our Repauno site and the Long Ridge property are subject to environmental laws and regulations that may expose us to significant costs and liabilities.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that sold Repauno to FTAI (the “Repauno Seller”) related to historic industrial operations. The Repauno Seller is responsible for completion of this work, and we benefit from a related indemnity and insurance policy. If the Repauno Seller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Repauno Seller’s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a portion of the Long Ridge site was redeveloped as a combined cycle gas-fired electric generating facility, and other portions will likely be redeveloped in the future. Although we have not identified material impacts to soils or groundwater that reasonably would be expected to prevent or delay further redevelopment projects, impacted materials could be encountered that require special handling and/or result in delays to those projects. Any additional projects may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jc w:val="both"/>
        <w:spacing w:after="0" w:line="265"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the Repauno or Long Ridge sites into hubs for industrial and energy development in a timely manner, their future prospects could be materially and adversely affected, which may have a material adverse effect on our business, operating results and financial condition.</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have material customer concentration with respect to the Jefferson Terminal and Railroad segments, with a limited number of customers accounting for a material portion of our revenues.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earned approximately 10%, 13% and 12% of our revenue for the years ended December 31, 2025, 2024 and 2023 from one customer within the Jefferson Terminal segment, respectively, and 32%, 50% and 51% of our revenue from one customer within the Railroad segment during the years ended December 31, 2025, 2024 and 2023, respectively. As of December 31, 2025, accounts receivable from three customers within the Jefferson Terminal and Railroad segments represented 41% of total accounts receivable, net. As of December 31, 2024, accounts receivable from two customers within the Jefferson Terminal and Railroad segments represented 48% of total accounts receivable, net.</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 are inherent risks whenever a large percentage of total revenues are concentrated with a limited number of customers. It is not possible for us to predict the future level of demand for our services that will be generated by these customers or the future demand for the products and services of these customers in the end-user marketplace. In addition, revenues from these customers may fluctuate from time to time based on the commencement and completion of projects, the timing of which may be affected by market conditions or other factors, some of which may be outside of our control. If any of these customers experience declining or delayed sales due to market, economic or competitive conditions, or undergo material management or ownership changes, we could be pressured to reduce the prices we charge for our services or we could lose a major customer. Any such development could have an adverse effect on our margins and financial position and would negatively affect our revenues and results of operations and/or trading price of our common stock.</w:t>
      </w:r>
    </w:p>
    <w:p>
      <w:pPr>
        <w:spacing w:after="0" w:line="2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A cyberattack that bypasses our information technology (“IT”) security systems or the IT security systems of our third-party providers, causing an IT security breach or cybersecurity incident, may lead to a disruption of our IT systems and the loss of business information which may hinder our ability to conduct our business effectively and may result in lost revenues and additional costs.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We have, from time to time, experienced cybersecurity threats to our data and systems, including malware and computer virus attacks, any of which could be enhanced or facilitated by artificial intelligence. A cyberattack that bypasses our IT security systems or the IT security systems of our third-party providers, causing an IT security breach or cybersecurity incident,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 or incidents</w:t>
      </w:r>
      <w:r>
        <w:rPr>
          <w:rFonts w:ascii="Arial" w:cs="Arial" w:eastAsia="Arial" w:hAnsi="Arial"/>
          <w:sz w:val="16"/>
          <w:szCs w:val="16"/>
          <w:i w:val="1"/>
          <w:iCs w:val="1"/>
          <w:color w:val="auto"/>
        </w:rPr>
        <w:t>.</w:t>
      </w:r>
    </w:p>
    <w:p>
      <w:pPr>
        <w:spacing w:after="0" w:line="28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entities which are at least 50% owned that are not themselves investment companies and are not relying on the exception from the definition of investment company for certain privately offered investment vehicles set forth in Section 3(c)(1) or Section 3(c)(7) of the Investment Company Act.</w:t>
      </w:r>
    </w:p>
    <w:p>
      <w:pPr>
        <w:spacing w:after="0" w:line="2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judgments or settlements in legal proceedings could materially harm our business, financial condition, operating results and cash flows.</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may be party to claims that arise from time to time in the ordinary course of our business, which may include those related to, for example, contracts, sub-contracts, employment of our workforce and immigration requirements or compliance with any of 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6"/>
          <w:szCs w:val="16"/>
          <w:color w:val="auto"/>
        </w:rPr>
        <w:t>wide array of state and federal statutes, rules and regulations that pertain to different aspects of our business. We may also be required to initiate expensive litigation or other proceedings to protect our business interests. There is a risk that we will not be successful or otherwise be able to satisfactorily resolve any pending or future litigation. In addition, litigation and other legal claims are subject to inherent uncertainties and management’s view of currently pending legal matters may change in the future. Those uncertainties include, but are not limited to, litigation costs and attorneys’ fees, unpredictable judicial or jury decisions and the differing laws regarding damage awards among the states in which we operate. Unexpected outcomes in such legal proceedings, or changes in management’s evaluation or predictions of the likely outcomes of such proceedings (possibly resulting in changes in established reserves), could have a material adverse effect on our business, financial condition, results of operations and cash flows.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officers and other individuals who perform services for us (other than Jefferson Terminal, Repauno, Long Ridge, Transtar, Aleon and Gladieux, Wheeling, KRS, Clean Planet, FYX, and CarbonFree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an employee of Fortress, which is an affiliate of our Manager, and who until May 2024, was a principal and a member of the board of directors of Fortress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14, 2024, certain members of Fortress management and affiliates of Mubadala completed their acquisition of 100% of the equity of Fortress. While Fortress’s senior investment professionals are expected to remain at Fortress, including those individuals who perform services for us, there can be no assurance that the transaction will not have an adverse impact on us or our relationship with our Manager.</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Management Agreement was not negotiated at arm’s-length, and its terms, including fees payable, may not be as favorable to us as if they had been negotiated with an unaffiliated third party.</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affiliates—including investment funds, private investment funds, or businesses managed by our Manager, including Florida East Coast Industries, LLC (“FECI”)—invest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Although we have the same Manager, we may compete with entities affiliated with our Manager or Fortress, including FECI, for certain target assets. From time to time, entities affiliated with or managed by our Manager or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In connection with the spin-off, we received assets previously purchased by FTAI, and we may in the future purchase assets from these funds, and FTAI has previously co-invested and we may in the future co-invest with these funds in infrastructure assets. Fortress funds generally have a fee structure similar to ours, but the fees actually paid will vary depending on the size, terms and performance of each fund.</w:t>
      </w:r>
    </w:p>
    <w:p>
      <w:pPr>
        <w:spacing w:after="0" w:line="28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infrastructure related management and other investment opportunities in the future, which may compete with us for investments or result in a change in our current investment strategy. In addition, our certificate of incorporation provides that if any of the Fortress Parties or any of their officers, directors or employees acquire knowledge of a potential transaction that could be a corporate opportunity, they have no duty, to the fullest extent permitted by law, to offer such corporate opportunity to us, our stockholders or our affiliates. In the event that any of our directors and officers who is also a director, officer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jc w:val="both"/>
        <w:spacing w:after="0" w:line="265" w:lineRule="auto"/>
        <w:rPr>
          <w:sz w:val="20"/>
          <w:szCs w:val="20"/>
          <w:color w:val="auto"/>
        </w:rPr>
      </w:pPr>
      <w:r>
        <w:rPr>
          <w:rFonts w:ascii="Arial" w:cs="Arial" w:eastAsia="Arial" w:hAnsi="Arial"/>
          <w:sz w:val="16"/>
          <w:szCs w:val="16"/>
          <w:color w:val="auto"/>
        </w:rPr>
        <w:t>or employee of any of the Fortress Parties or their affiliates acquires knowledge of a corporate opportunity or is offered a corporate opportunity, provided that this knowledge was not acquired solely in such person’s capacity as a director or officer of us and such person acts in good faith, then to the fullest extent permitted by law such person is deemed to have fully satisfied such person’s fiduciary duties owed to us and is not liable to us if any of the Fortress Parties, or their respective affiliates, pursues or acquires the corporate opportunity or if such person did not present the corporate opportunity to us.</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FTAI and FECI,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party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structure of our Manager’s compensation arrangements may have unintended consequences for us. We have agreed to pay our Manager a management fee that is based on different measures of performance. Consequently, there may be conflicts in the incentives of our Manager to generate attractive risk-adjusted returns for us. Investments with higher yield potential are generally riskier or more speculative than investments with lower yield potential. This could result in increased risk to the value of our portfolio of assets and our common stock.</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will not approve each acquisition we make at the direction of our Manager. In addition, we may change our strategy without a stockholder vote, which may result in our acquiring assets that are different, riskier or less profitable than our current assets.</w:t>
      </w:r>
    </w:p>
    <w:p>
      <w:pPr>
        <w:spacing w:after="0" w:line="4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stockholder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stockholder vote.</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stock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6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stockholders or partners for any acts or omissions by our Manager, its members, managers, officers, employees, sub-advisers and any other person controlling or Manager, except liability to us, our stockholders,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p>
      <w:pPr>
        <w:jc w:val="both"/>
        <w:spacing w:after="0" w:line="265" w:lineRule="auto"/>
        <w:rPr>
          <w:sz w:val="20"/>
          <w:szCs w:val="20"/>
          <w:color w:val="auto"/>
        </w:rPr>
      </w:pPr>
      <w:r>
        <w:rPr>
          <w:rFonts w:ascii="Arial" w:cs="Arial" w:eastAsia="Arial" w:hAnsi="Arial"/>
          <w:sz w:val="16"/>
          <w:szCs w:val="16"/>
          <w:color w:val="auto"/>
        </w:rPr>
        <w:t>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the Spin-off</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ownership by some of our directors of common shares, options, or other equity awards of FTAI may create, or may create the appearance of, conflicts of interest.</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some of our directors also currently hold positions with FTAI, they own FTAI common shares, options to purchase FTAI common shares or other equity awards. For example, Judith Hannaway and Ray Robinson are directors of both FTAI and FTAI Infrastructure, and Joseph Adams, Jr., who is the chairman of the board of both FTAI and FTAI Infrastructure and is the chief executive officer of FTAI, owns common shares and options to purchase common shares in both FTAI and FTAI Infrastructure. Ownership by some of our directors of common shares or options to purchase common shares of FTAI, or any other equity awards, creates, or, may create the appearance of, conflicts of interest when these directors are faced with decisions that could have different implications for FTAI than they do for us.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compete with affiliates of and entities managed by our Manager which could adversely affect our and their results of operations.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Affiliates of and entities managed by our Manager are primarily engaged in the infrastructure and energy business and invest in, and actively manage, portfolios of infrastructure and energy investments and other assets. Affiliates of and entities managed by our Manager are not restricted in any manner from competing with us. After the spin-off, affiliates of and entities managed by our Manager may decide to invest in the same types of assets that we invest in. Furthermore, certain of our directors and officers are the same as certain of our Manager’s affiliates. See “—Risks Related to Our Manager—There are conflicts of interest in our relationship with our Manager.”</w:t>
      </w:r>
    </w:p>
    <w:p>
      <w:pPr>
        <w:spacing w:after="0" w:line="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share certain key directors with FTAI, which means those officers do not devote their full time and attention to our affairs and the overlap may give rise to conflicts.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There is an overlap between certain key directors of the Company and of FTAI. Judith Hannaway and Ray Robinson are directors of both the Company and FTAI, and Joseph Adams, Jr. is the chairman of the board of directors of both the Company and FTAI, and continues to serve as the chief executive officer of FTAI. Shared directors may have actual or apparent conflicts of interest with respect to matters involving or affecting each company. For example, there will be the potential for a conflict of interest when we on the one hand, and FTAI and its respective subsidiaries and successors on the other hand, are party to commercial transactions concerning the same or adjacent investments. In addition, certain of our directors and officers continue to own shares and/or options or other equity awards of FTAI. These ownership interests could create actual, apparent or potential conflicts of interest when these individuals are faced with decisions that could have different implications for our company and FTAI. See “Certain Relationships and Related Party Transactions—Our Manager and Management Agreement” in the Information Statement filed with the SEC on Form 8-K on July 15, 2022 for a discussion of certain procedures we instituted to help ameliorate such potential conflicts that may arise.</w:t>
      </w:r>
    </w:p>
    <w:p>
      <w:pPr>
        <w:spacing w:after="0" w:line="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degree to which we are leveraged could cause a material adverse effect on our business, financial condition, results of operations and cash flows.</w:t>
      </w: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are responsible for servicing our own debt and obtaining and maintaining sufficient working capital and other funds to satisfy our cash requirements. Our access to and cost of debt financing is different from the historical access to and cost of debt financing under FTAI. Differences in access to and cost of debt financing may result in differences in the interest rates charged to us on financings, as well as the amount of indebtedness, types of financing structures and debt markets that may be available to us. Our ability to make payments on and to refinance our and our subsidiaries’ indebtedness and preferred stock, as well as any future debt and preferred stock that we or our subsidiaries may incur, will depend on our ability to generate cash in the future from operations, financings and/or asset sales. Our ability to generate cash is subject to general economic, financial, competitive, legislative, regulatory and other factors that are beyond our control.</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6" w:name="page27"/>
    <w:bookmarkEnd w:id="26"/>
    <w:p>
      <w:pPr>
        <w:jc w:val="both"/>
        <w:spacing w:after="0" w:line="294" w:lineRule="auto"/>
        <w:rPr>
          <w:sz w:val="20"/>
          <w:szCs w:val="20"/>
          <w:color w:val="auto"/>
        </w:rPr>
      </w:pPr>
      <w:r>
        <w:rPr>
          <w:rFonts w:ascii="Arial" w:cs="Arial" w:eastAsia="Arial" w:hAnsi="Arial"/>
          <w:sz w:val="16"/>
          <w:szCs w:val="16"/>
          <w:b w:val="1"/>
          <w:bCs w:val="1"/>
          <w:i w:val="1"/>
          <w:iCs w:val="1"/>
          <w:color w:val="auto"/>
        </w:rPr>
        <w:t>We experienced an “ownership change” for purposes of Section 382 of the Code, which limits our ability to utilize our net operating loss and certain other tax attributes to reduce our future taxable income.</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Although we currently have significant tax attributes, including significant net operating losses, our use of those attributes is subject to significant limitations as a result of the fact that we believe we underwent an “ownership change” for purposes of Section 382 of the Code in the first half of 2025. Specifically, Section 382 of the Code imposes an annual limitation on the ability of a company that undergoes an “ownership change” to utilize its net operating loss and certain built-in losses to offset taxable income earned in years after the ownership change. The Code also contains other limitations on the use of net operating losses and other tax attributes, which may impact our ability to utilize such losses and attributes. As a result of the Section 382 limitation and potentially other limitations or changes in circumstances, our use of our tax attributes may be significantly delayed, and we may not be able to use all of those attributes, potentially harming our future operating results by effectively increasing our future U.S. federal income tax obligations. In addition, we may be subject to similar or other limitations under state, local or other tax laws.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the Wheeling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integrate the businesses and realize the anticipated benefits of the Wheeling Acquisition.</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success of the Wheeling Acquisition will depend, in part, on our ability to successfully integrate Wheeling, with our business and realize the anticipated benefits, including synergies, cost savings, innovation and operational efficiencies, from this combination. If we are unable to achieve these objectives within the anticipated time frame, or at all, the anticipated benefits may not be realized fully, or at all, or may take longer to realize than expected and the value of our common stock may be harmed. Additionally, as a result of the Wheeling Acquisition, rating agencies may take negative actions against our credit ratings, which may increase our financing costs.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integration of Wheeling into our business is a complex, costly and time-consuming process, and may result in material challenges, including, without limitation:</w:t>
      </w:r>
    </w:p>
    <w:p>
      <w:pPr>
        <w:spacing w:after="0" w:line="48"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failure to successfully integrate Wheeling in a manner that permits us to realize the anticipated benefits of the acquisition;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managing a larger rail platform;</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difficulties expanding our customer base;</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difficulties and delays integrating Wheeling’s operations and systems and retaining key employees;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higher than anticipated costs incurred in connection with the integration of Wheeling;</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possibility of faulty assumptions underlying expectations regarding the integration process;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retaining existing business and operational relationships and attracting new business and operational relationships;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disruptions to our ongoing business and diversion of our management’s attention caused by transition or integration activities involving Wheeling;</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consolidating corporate and administrative infrastructures and eliminating duplicative functions;</w:t>
      </w:r>
    </w:p>
    <w:p>
      <w:pPr>
        <w:spacing w:after="0" w:line="11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assumption of pre-existing contractual relationships of Wheeling that we may not have otherwise entered into, the termination or modification of which may be costly or disruptive to our business;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unanticipated issues in integrating information technology, communications and other systems;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incurring debt to finance the Wheeling Acquisition, which will increase our debt service requirements, expense and leverage;</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potential litigation arising from the transaction;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unanticipated changes in applicable federal or state laws or regulations.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Many of these factors will be outside of our control and any one of them could result in delays, increased costs, decreases in the amount of expected revenues and diversion of management’s time and energy, which could materially affect our financial position, results of operations and cash flows.</w:t>
      </w:r>
    </w:p>
    <w:p>
      <w:pPr>
        <w:spacing w:after="0" w:line="3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not have discovered undisclosed liabilities or other issues of Wheeling during our due diligence process, and we may not have adequate legal protection from potential liabilities of, or in respect of our acquisition of Wheeling.</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course of the due diligence review of Wheeling that we conducted prior to the execution of the Stock Purchase Agreement, we may not have discovered, or may have been unable to quantify, undisclosed liabilities or other issues relating to Wheeling and its subsidiaries. Moreover, we may not have adequate legal protection from potential liabilities of, or in respect of our acquisition of Wheeling, irrespective of whether or not such potential liabilities were discovered. Examples of such undisclosed or potential liabilities or other issues may include, but are not limited to, pending or threatened litigation, regulatory and environmental compliance, tax liabilities, indemnification of obligations, undisclosed counterparty termination rights, 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7" w:name="page28"/>
    <w:bookmarkEnd w:id="27"/>
    <w:p>
      <w:pPr>
        <w:jc w:val="both"/>
        <w:ind w:right="20"/>
        <w:spacing w:after="0" w:line="286" w:lineRule="auto"/>
        <w:rPr>
          <w:sz w:val="20"/>
          <w:szCs w:val="20"/>
          <w:color w:val="auto"/>
        </w:rPr>
      </w:pPr>
      <w:r>
        <w:rPr>
          <w:rFonts w:ascii="Arial" w:cs="Arial" w:eastAsia="Arial" w:hAnsi="Arial"/>
          <w:sz w:val="16"/>
          <w:szCs w:val="16"/>
          <w:color w:val="auto"/>
        </w:rPr>
        <w:t>undisclosed letter of credit or guarantee requirements. Any such undisclosed or potential liabilities or other issues could have an adverse effect on our business, results of operations, financial condition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Wheeling faces competition from other railroads and other transportation providers.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Wheeling faces competition from other railroads, motor carriers, ships, barges, and pipelines. Wheeling operates in some corridors served by other railroads and motor carriers. In addition to price competition, Wheeling faces competition with respect to transit times, quality, and reliability of service from motor carriers and other railroads. Motor carriers in particular can have an advantage over railroads with respect to transit times and timeliness of service. However, railroads are much more fuel-efficient than trucks, which reduces the impact of transporting goods on the environment and public infrastructure. Additionally, Wheeling must build or acquire and maintain its rail system, while trucks, barges, and maritime operators are able to use public rights-of-way maintained by public entities. Any of the following could also affect the competitiveness of our rail services, which could have a material adverse effect on our results of operations, financial condition, and liquidity: (i) improvements or expenditures materially increasing the quality or reducing the costs of these alternative modes of transportation, such as autonomous or more fuel efficient trucks, (ii) legislation that eliminates or significantly increases the size or weight limitations applied to motor carriers, or (iii) legislation or regulatory changes that impose operating restrictions on railroads or that adversely affect the profitability of some or all railroad traffic. Additionally, any future consolidation of the rail industry could materially affect our competitive environment.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Wheeling has material customer concentration, with a limited number of customers accounting for a material portion of our revenues.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Wheeling earned approximately 43% of its total revenues for the year ended December 31, 2025 from two customers. There are inherent risks whenever a large percentage of total revenues are concentrated with a limited number of customers. It is not possible for us to predict the future level of demand for Wheeling’s services that will be generated by these customers or the future demand for the products and services of these customers in the end-user marketplace. In addition, revenues from these customers may fluctuate from time to time, which may be affected by market conditions or other factors, some of which may be outside of our control. If any of these customers experience declining or delayed sales due to market, economic or competitive conditions, or undergo material management or ownership changes, Wheeling could be pressured to reduce the prices it charges for its services or could lose a major customer. Any such development could have a significant adverse impact on the business and financial condition of the Company.</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future results of the Company may be adversely impacted if the Company does not effectively manage its expanded operations following the completion of the Wheeling Acquisition.</w:t>
      </w:r>
    </w:p>
    <w:p>
      <w:pPr>
        <w:spacing w:after="0" w:line="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a result of the Wheeling Acquisition, the size of the Company’s business has increased significantly. The Company’s ability to successfully manage this expanded business will depend, in part, upon management’s ability to design and implement strategic initiatives that address not only the integration of Wheeling, but also the increased scale and scope of the combined business with its associated increased costs and complexity.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Wheeling has not been required to comply with the Sarbanes-Oxley Act of 2002 (“Sarbanes-Oxley”).</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Prior to the Wheeling Acquisition, Wheeling was a privately-held company not subject to Sarbanes-Oxley. Sarbanes-Oxley requires public companies to have and maintain effective internal control over financial reporting to provide reasonable assurance regarding the reliability of financial reporting and preparation of financial statements and to have management report on the effectiveness of those controls on an annual basis (and have its independent public accountants attest annually to the effectiveness of such internal controls). As a private company, Wheeling is not required to comply with the requirements of Sarbanes-Oxley.</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begun applying our Sarbanes-Oxley procedures regarding internal controls over financial reporting with respect to Wheeling. This process will require us to expend a significant amount of time from our management and other personnel and will require us to expend a significant amount of financial resources, which is likely to increase our compliance costs. Even after expending such resources, we cannot assure you that we will be able to conclude that our internal controls over financial reporting with respect to Wheeling are effective within the time frame required. If we are not able to comply with the requirements of Sarbanes-Oxley in a timely manner, we could be subject to sanctions or investigations by the SEC or other regulatory authorities, which would entail expenditure of additional financial and management resources and could materially adversely affect the combined company.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Common Stock</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The market price and trading volume of our common stock may be volatile, which could result in rapid and substantial losses for our stockholders.</w:t>
      </w:r>
    </w:p>
    <w:p>
      <w:pPr>
        <w:spacing w:after="0" w:line="28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market price of our common stock may be highly volatile and could be subject to wide fluctuations. In addition, the trading volume in our common stock may fluctuate and cause significant price variations to occur. If the market price of our common stock declines significantly, you may be unable to resell your stock at or above your purchase price, if at all. The market price of our common stock may fluctuate or decline significantly in the future. Some of the factors that could negatively affect our stock price or result in fluctuations in the price or trading volume of our stock include:</w:t>
      </w:r>
    </w:p>
    <w:p>
      <w:pPr>
        <w:spacing w:after="0" w:line="78"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stock;</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the potential for worsening economic conditions, economic downturn, a recession or interest rate or currency rate fluctuations, could adversely affect the market price of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increase in market interest rates may have an adverse effect on the market price of our common stock.</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One of the factors that investors may consider in deciding whether to buy or sell our stock is our distribution rate as a percentage of our stock price relative to market interest rates. If the market price of our common stock is based primarily on the earnings and return that we derive from our investments and income with respect to our investments and our related distributions to stockholders, and not from the market value of the investments themselves, then interest rate fluctuations and capital market conditions will likely affect the market price of our common stock. For instance, if market interest rates rise without an increase in our distribution rate, the market price of our common stock could decrease, as potential investors may require a higher distribution yield on our stock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the market for our common stock will provide you with adequate liquidity.</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can be no assurance that an active trading market for our common stock will develop or be sustained in the future, and the market price of our stock may fluctuate widely, depending upon many factors, some of which may be beyond our control. These factors include, without limitation:</w:t>
      </w:r>
    </w:p>
    <w:p>
      <w:pPr>
        <w:spacing w:after="0" w:line="61"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quarterly or annual earnings and cash flows, or those of other comparable companies;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dispositions or other transactions;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failure of securities analysts to cover our stock;</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market performance of affiliates and other counterparties with whom we conduct business;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operating and stock price performance of other comparable companies;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failure to maintain our exemption under the Investment Company Act or satisfy Nasdaq listing requirements;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negative public perception of us, our competitors or industry;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overall market fluctuations;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economic conditions.</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Stock markets in general have experienced volatility that has often been unrelated to the operating performance of a particular company. These broad market fluctuations may adversely affect the market price of our common stock.</w:t>
      </w:r>
    </w:p>
    <w:p>
      <w:pPr>
        <w:spacing w:after="0" w:line="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Failure to maintain effective internal control over financial reporting in accordance with Section 404 of the Sarbanes-Oxley Act of 2002 could have a material adverse effect on our business and stock price.</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a public company, we are required to maintain effective internal control over financial reporting in accordance with Section 404 of the Sarbanes-Oxley Act of 2002. Internal control over financial reporting is complex and may be revised over time to adapt to changes in our business, or changes in applicable accounting rules. We may make investments through joint ventures and</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29" w:name="page30"/>
    <w:bookmarkEnd w:id="29"/>
    <w:p>
      <w:pPr>
        <w:jc w:val="both"/>
        <w:spacing w:after="0" w:line="258" w:lineRule="auto"/>
        <w:rPr>
          <w:sz w:val="20"/>
          <w:szCs w:val="20"/>
          <w:color w:val="auto"/>
        </w:rPr>
      </w:pPr>
      <w:r>
        <w:rPr>
          <w:rFonts w:ascii="Arial" w:cs="Arial" w:eastAsia="Arial" w:hAnsi="Arial"/>
          <w:sz w:val="16"/>
          <w:szCs w:val="16"/>
          <w:color w:val="auto"/>
        </w:rPr>
        <w:t>accounting for such investments can increase the complexity of maintaining effective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may issue an adverse opinion as to the effectiveness of our internal control over financial reporting. Matters impacting our internal control over financial reporting may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Confidence in the reliability of our financial statements is also likely to suffer if we or our independent registered public accounting firm reports a material weakness in the effectiveness of our internal control over financial reporting. This could materially adversely affect us by, for example, leading to a decline in our stock price and impairing our ability to raise capital.</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Your percentage ownership in us may be diluted in the future because of equity awards that we expect will be granted to our Manager, to the directors, officers and employees of our Manager who perform services for us, and to our directors, officers and employees, as well as other equity instruments such as debt and equity financing, including, but not limited to, the Series B Preferred Stock, the Series I Warrants (as defined in Note 19 to the consolidated financial statements) and the Series A Warrants (as defined in Note 19 to the consolidated financial statements).</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August 1, 2022, our board of directors adopted the FTAI Infrastructure Inc. Nonqualified Stock Option and Incentive Award Plan (the “Incentive Plan”), which provides for the ability to grant compensation awards in the form of stock, options, stock appreciation rights, restricted stock, performance awards, manager awards, tandem awards, other stock-based awards (including restricted stock units) and non-stock-based awards, in each case to our Manager, to the directors, officers, employees, service providers, consultants and advisors of our Manager who perform services for us, and to our directors, officers, employees, service providers, consultants and advisors. We initially reserved 30,000,000 shares of our common stock for issuance under the Incentive Plan. On the date of any equity issuance by us during the ten-year term of the Incentive Plan, that number will be increased by a number of shares of our common stock equal to 10% of (i) the number of shares of our common stock newly issued by us in such equity issuance or (ii) if such equity issuance relates to equity securities other than our common stock, the number of shares of our common stock equal to the quotient obtained by dividing the gross capital raised in such equity issuance by the fair market value of a share of our common stock as of the date of such equity issuance (such quotient, the “Equity Security Factor”). The term of the Incentive Plan expires in 2032. For a more detailed description of the Incentive Plan, see “Management—FTAI Infrastructure Nonqualified Stock Option and Inventive Award Plan” in the Information Statement filed with the SEC on Form 8-K on July 15, 2022. Upon the successful completion of an equity offering by us, we will issue to our Manager (or an affiliate of our Manager), as compensation for our Manager’s role in raising capital for us, options to purchase shares of our common stock equal to up to 10% of (i) the aggregate number of shares of our common stock being issued in such offering or (ii) if such equity issuance relates to equity securities other than shares of our common stock, the number of shares of our common stock equal to the Equity Security Factor. In addition, the compensation committee of our board of directors has the authority to grant such other awards to our Manager as it deems advisable; provided that no such award may be granted to our Manager in connection with any issuance by us of equity securities in excess of 10% of (i) the maximum number of shares of our common stock then being issued or (ii) if such equity issuance relates to equity securities other than shares of our common stock, the maximum number of shares of our common stock determined in accordance with the Equity Security Factor.</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Series B Redeemable Convertible Preferred Stock may be converted into a maximum of 22,237,370 shares of our common stock, subject to customary anti-dilution adjustments and assuming shareholder approval is not sought and obtained to issue additional shares. Furthermore, the Series I Warrants and the Series A Warrants represent the right to purchase 3,342,566 shares of common stock and 550,000 shares of common stock, respectively, at an exercise price of $10.00 per share, subject to customary anti-dilution adjustments.</w:t>
      </w:r>
    </w:p>
    <w:p>
      <w:pPr>
        <w:spacing w:after="0" w:line="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common stock is subject to ownership and transfer restrictions intended to preserve our ability to use our net operating loss carryforwards and other tax attributes.</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incurred and may also continue to incur significant net operating loss carryforwards and other tax attributes, the amount and availability of which are subject to certain qualifications, limitations, and uncertainties. Our certificate of incorporation imposes certain restrictions on the transferability and ownership of our common stock, preferred stock, and other interests treated as our “stock” (such stock and other interests, the “Corporation Securities,” such restrictions on transferability and ownership, the “Ownership Restrictions”) in order to reduce the possibility of an equity ownership shift that could result in limitations on our ability to utilize net operating loss carryforwards for U.S. federal income tax purposes. Any acquisition of Corporation Securities that results in a stockholder being in violation of these restrictions may not be valid.</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Subject to certain exceptions (including with respect to Initial Substantial Stockholders, as defined in our certificate of incorporation), the Ownership Restrictions will restrict (i) any person or entity (including certain groups of persons) from directly or indirectly acquiring 4.8% or more of the outstanding Corporation Securities and (ii) the ability of any person or entity (including certain groups of persons) already owning, directly or indirectly, 4.8% or more of the Corporation Securities to increase their proportionate interest in, or to sell, the Corporation Securities. Any transferee receiving Corporation Securities that would result in a violation of the Ownership Restrictions will not be recognized as an FTAI Infrastructure stockholder or entitled to any rights of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0" w:name="page31"/>
    <w:bookmarkEnd w:id="30"/>
    <w:p>
      <w:pPr>
        <w:jc w:val="both"/>
        <w:ind w:right="20"/>
        <w:spacing w:after="0" w:line="275" w:lineRule="auto"/>
        <w:rPr>
          <w:sz w:val="20"/>
          <w:szCs w:val="20"/>
          <w:color w:val="auto"/>
        </w:rPr>
      </w:pPr>
      <w:r>
        <w:rPr>
          <w:rFonts w:ascii="Arial" w:cs="Arial" w:eastAsia="Arial" w:hAnsi="Arial"/>
          <w:sz w:val="16"/>
          <w:szCs w:val="16"/>
          <w:color w:val="auto"/>
        </w:rPr>
        <w:t>stockholders, including, without limitation, the right to vote and receive dividends or distributions, whether liquidating or otherwise, in each case, with respect to the Corporation Securities causing the violation. FTAI Infrastructure common stockholders whose ownership violates the Ownership Restrictions at the time of the spin-off will not be required to sell their FTAI Infrastructure common stock, but may be prevented from acquiring more Corporation Securities.</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Ownership Restrictions will remain in effect until the earlier of (i) the date on which Section 382 of the Code is repealed, amended, or modified in such a way as to render the restrictions imposed by Section 382 of the Code no longer applicable to us or (ii) a determination by the board of directors that (1) an ownership change would not result in a substantial limitation on our ability to use our available net operating loss carryforwards and other tax attributes; (2) no significant value attributable to our available net operating loss carryforwards and other tax attributes would be preserved by continuing the transfer restrictions; or (3) it is not in our best interests to continue the Ownership Restrictions. The Ownership Restrictions may also be waived by the board of directors on a case-by-case basis. There is no assurance, however, that the Company will not experience a future ownership change under Section 382 that may significantly limit its ability to use its NOL carryforwards as a result of such a waiver or otherwise.</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Ownership Restrictions described above could make it more difficult for a third party to acquire, or could discourage a third party from acquiring, a large block of our common stock. This may adversely affect the marketability of our common stock by discouraging existing or potential investors from acquiring our stock or additional shares of our stock. It is also possible that the transfer restrictions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 are advised to carefully monitor your ownership of our common stock and consult your legal advisors to determine whether your ownership of our common stock violates the ownership restrictions that are in our certificate of incorporation.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or issue debt or issue equity, which may negatively affect the market price of our common stock.</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may in the future incur or issue debt or issue equity or equity-related securities. In the event of our liquidation, lenders and holders of our debt and holders of our preferred stock (if any) would receive a distribution of our available assets before common stockholders. Any future incurrence or issuance of debt would increase our interest cost and could adversely affect our results of operations and cash flows. We are not required to offer any additional equity securities to existing common stockholders on a preemptive basis. Therefore, additional issuances of common stock, directly or through convertible or exchangeable securities, warrants or options, including, but not limited to, the Series B Redeemable Convertible Preferred Stock, the Series I Warrants and the Series A Warrants, will dilute the holdings of our existing common stockholders and such issuances, or the perception of such issuances, may reduce the market price of our common stock. Any additional preferred stock issued by us would likely have, a preference on distribution payments, periodically or upon liquidation, which could eliminate or otherwise limit our ability to make distributions to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stockholders bear the risk that our future incurrence or issuance of debt or issuance of equity or equity-related securities will adversely affect the market price of our stock.</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Provisions of Delaware law, our certificate of incorporation and our bylaws, prevent or delay an acquisition of our company, which could decrease the market price of our common stock.</w:t>
      </w:r>
    </w:p>
    <w:p>
      <w:pPr>
        <w:spacing w:after="0" w:line="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Delaware law contains, and our certificate of incorporation and bylaws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56"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classified board of directors with staggered three-year terms;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provisions regarding the election of directors, classes of directors, the term of office of directors and the filling of director vacancies;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provisions regarding corporate opportunity;</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removal of directors only for cause and only with the affirmative vote of at least 80% of the then issued and outstanding shares of our capital stock entitled to vote in the election of directors;</w:t>
      </w:r>
    </w:p>
    <w:p>
      <w:pPr>
        <w:spacing w:after="0" w:line="3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board of directors to determine the powers, preferences and rights of our preferred stock and to issue such preferred stock without stockholder approval;</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advance notice requirements applicable to stockholders for director nominations and actions to be taken at annual meetings;</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prohibition will be in our certificate of incorporation that states that directors will be elected by plurality vote, a provision which means that the holders of a majority of the issued and outstanding shares of common stock can elect all the directors standing for election;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ind w:left="66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requirement in our bylaws specifically denying the ability of our stockholders to consent in writing to take any action in lieu of taking such action at a duly called annual or special meeting of our stockholders; and</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Corporation Securities are subject to ownership and transfer restrictions in order to reduce the possibility of an equity ownership shift that could result in limitations on our ability to utilize net operating loss carryforwards for U.S. federal income tax purposes.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Public stockholders who might desire to participate in these types of transactions may not have an opportunity to do so, even if the transaction is considered favorable to stockholders. These anti-takeover provisions could substantially impede the ability of public stockholders to benefit from a change in control or a change in our management and board of directors and, as a result, may adversely affect the market price of our common stock and your ability to realize any potential change of control premium.</w:t>
      </w:r>
    </w:p>
    <w:p>
      <w:pPr>
        <w:spacing w:after="0" w:line="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bylaws contain exclusive forum provisions for certain claims, which could limit our stockholders’ ability to obtain a favorable judicial forum for disputes with us or our directors, officers or employees.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bylaws, to the fullest extent permitted by law, provide that, unless we consent in writing to the selection of an alternative forum, the Court of Chancery of the State of Delaware will be the sole and exclusive forum for (i) any derivative action or proceeding brought on behalf of us; (ii) any action asserting a claim of breach of a duty (including any fiduciary duty) owed by any of our current or former directors, officers or employees to us or our stockholders; (iii) any action asserting a claim against us or any of our current or former directors, officers, stockholders, employees or agents arising out of or relating to any provision of the DGCL or our certificate of incorporation or our bylaws; or (iv)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Exchange Act, or rules and regulations thereunder.</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claims brought to enforce any duty or liability created by the Securities Act or the rules and regulations thereunder and our bylaws will provide that the federal district courts of the United States of America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and our bylaws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Any person or entity purchasing or otherwise acquiring or holding any interest in any of our securities shall be deemed to have notice of and consented to our exclusive forum provisions, including the federal forum provision; provided, however, that stockholders will not be deemed to have waived our compliance with the federal securities laws and the rules and regulations thereunder.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pay regular quarterly dividends to our stockholders, we may change our dividend policy at any time.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Although we currently pay regular quarterly dividends to holders of our common stock, we may change our dividend policy at any time. Our net cash provided by operating activities could be less than the amount of distributions to our stockholders. The declaration and payment of dividends to holders of our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limitations under our contractual agreements, including the agreements governing certain of our debt financings, our taxable income, our operating expenses and other factors our board of directors deem relevant. There can be no assurance that we will continue to pay dividends in amounts or on a basis consistent with prior distributions to our investors, if at all. Furthermore, our net cash provided by operating activities could be less than the amount of distributions to our stockholders.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an independent public company with shares listed on Nasdaq, we need to comply with an extensive body of regulations that did not apply to us previously, including certain provisions of the Sarbanes-Oxley Act, the Dodd-Frank Wall Street Reform and Consumer Protection Act, regulations of the SEC and requirements of Nasdaq. These rules and regulations will increase our legal and financial compliance costs and make some activities more time-consuming and costly. For example, as a result of becoming a public company, we must have independent directors and board committees.</w:t>
      </w:r>
    </w:p>
    <w:p>
      <w:pPr>
        <w:spacing w:after="0" w:line="6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stock, our stock price and trading volume could decline.</w:t>
      </w:r>
    </w:p>
    <w:p>
      <w:pPr>
        <w:spacing w:after="0" w:line="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any of the analysts who may cover us downgrades our common stock or publishes inaccurate or unfavorable research about our business, our common stock price may decline. If analysts cease coverage of us or fail to regularly publish reports on us, we could lose visibility in the financial markets, which in turn could cause our common stock price or trading volume to decline and our common stock to be less liquid.</w:t>
      </w:r>
    </w:p>
    <w:p>
      <w:pPr>
        <w:spacing w:after="0" w:line="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2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may be significantly reduced due to changes in market conditions, which may cause the cost of our financing to increase relative to the income that can be derived from our assets.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Non-U.S. persons that hold or have held (actually or constructively) more than 5% of our common stock may be subject to U.S. federal income tax upon the disposition of some or all their stock.</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If a non-U.S. person has held (actually or constructively) more than 5% of our common stock at any time within the shorter of the five-year period ending on the date of a sale, exchange, or other taxable disposition of our stock or the period that such non-U.S. person held our stock, and we were considered a “USRPHC” at any time during such period because of our current or previous ownership of U.S. real property interests above a certain threshold, such non-U.S. person may be subject to U.S. tax on such disposition of such stock (and may have a U.S. tax return filing obligation).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We believe that we are and are likely to remain a USRPHC. If a non-U.S. person is subject to U.S. tax as described above, gain recognized on the disposition of our common stock generally will be subject to U.S. federal income tax on a net income basis in the same manner as if the non-U.S. person were a U.S. person. In addition, if we are a USRPHC and our common stock ceased to be treated as “regularly traded on an established securities market,” a non-U.S. person would generally be subject to tax in the manner described in the preceding sentence regardless of what percentage of our common stock it owned, and the transferee in any disposition would generally be required to withhold 15% of the amount realized on the disposition. Non-U.S. stockholders are urged to consult their tax advisors regarding the tax consequences of an investment in our stock.</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to United States federal income tax laws could materially and adversely affect us and our stockholders.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present United States federal income tax laws may be modified, possibly with retroactive effect, by legislative, judicial, or administrative action at any time, which could affect the United States federal income tax treatment of us or an investment in our common stock. The United States federal income tax rules are constantly under review by persons involved in the legislative process, the Internal Revenue Service, and the United States Treasury Department, which results in statutory changes as well as frequent revisions to regulations and interpretations. We cannot predict how changes in the tax laws might affect us and our stockholders.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1B. Unresolved Staff Comments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have no unresolved staff comments.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1C. Cybersecurity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 Management and Strategy</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cybersecurity is overseen by the Chief Executive Officer, who receives reports directly from other officers and individuals who perform services for the Company, including, but not limited to, the Manager’s Information Security Steering Committee (“ISSC”), employing a risk-based methodology designed to safeguard the security, confidentiality, integrity, and availability of its information. The ISSC is tasked with developing an effective cyber strategy, establishing policies, and managing cyber risks within the organization. The Manager’s Chief Financial Officer and General Counsel, along with the Chief Operating Officer, Chief Human Resources Officer, Chief Compliance Officer, Chief Technology Officer, Chief Information Security Officer and Chief of Intelligence collaborate with Company management to formulate, implement, and enforce these policies. They help ensure that the ISSC considers best practices in its decision-making, and convenes quarterly or as needed to assess cybersecurity issues and supervise matters related to information security, fraud, vendors, data protection, and privacy risks.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3" w:name="page34"/>
    <w:bookmarkEnd w:id="33"/>
    <w:p>
      <w:pPr>
        <w:jc w:val="both"/>
        <w:spacing w:after="0" w:line="286" w:lineRule="auto"/>
        <w:rPr>
          <w:sz w:val="20"/>
          <w:szCs w:val="20"/>
          <w:color w:val="auto"/>
        </w:rPr>
      </w:pPr>
      <w:r>
        <w:rPr>
          <w:rFonts w:ascii="Arial" w:cs="Arial" w:eastAsia="Arial" w:hAnsi="Arial"/>
          <w:sz w:val="16"/>
          <w:szCs w:val="16"/>
          <w:color w:val="auto"/>
        </w:rPr>
        <w:t>Manager's Chief Technology Officer and Chief Information Security Officer have extensive knowledge and skills, and collectively bring decades of experience in the cybersecurity industry.</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help identify and assess risks, we and our Manager engage third-party advisors to conduct assessments, which leverage standards such as the National Institute of Standards and Technology security framework (“NIST”). The results of these assessments inform the development of cybersecurity controls and risk mitigation strategies, which are then implemented throughout the Company.</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taken proactive measures intended to minimize the likelihood of successful cyberattacks, including the establishment of incident response procedures designed to address potential cyber threats that may arise. These response procedures are structured with the aim to identify, analyze, contain, and remediate any cyber incidents that occur. We also have risk management processes to oversee and help identify risks from cybersecurity threats associated with our use of third-party providers. The Company’s cybersecurity risk management processes are an integrated and key component of the Company’s overall risk management strategy.</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 date, cybersecurity threats, including as a result of any previous cybersecurity incidents, have not materially affected and we believe are not reasonably likely to materially affect the Company, including its business strategy, results of operations or financial condition. Refer to the risk factor captioned “A cyberattack that bypasses our information technology (“IT”) security systems or the IT security systems of our third-party providers, causing an IT security breach or cybersecurity incident, may lead to a disruption of our IT systems and the loss of business information which may hinder our ability to conduct our business effectively and may result in lost revenues and additional costs.” in Part I, Item 1A, “Risk Factors” for additional description of cybersecurity risks and potential related impacts on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Governance</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Material risks are identified and prioritized by management, and material risks are discussed periodically or as needed with the Board of Directors. The Board of Directors regularly reviews information regarding the Company’s credit, liquidity and operations, including risks and contingencies associated with each area, including cybersecurity. In addition to the formal compliance program, the Board of Directors encourages management to promote a corporate culture that incorporates risk management into the Company’s corporate strategy and day-to-day business operations.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2. Properties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An affiliate of our Manager leases principal executive offices at 1345 Avenue of the Americas, 45th Floor, New York, NY 10105. We sublease a portion of office space from an entity controlled by certain employees of the Manager in New York. Jefferson Terminal leases approximately 300 acres of property for its terminal facilities and leases approximately 16,100 square feet of office space in Texas. We are redeveloping Repauno, located in New Jersey, which includes over 1,600 acres of land, riparian rights, rail tracks and a 186,000 barrel underground storage cavern, to be a multi-purpose, multi-modal deepwater port. Transtar owns or has operating rights (through easements, leases, licenses, or other arrangements) on roughly 2,000 acres of real property in Michigan, Ohio, Pennsylvania, Texas, and Indiana. Wheeling owns or has operating rights (through ownership, leases, easements, and other arrangements) over rail lines, yards, terminals, and related facilities located primarily in Ohio, Pennsylvania, West Virginia and Maryland. Long Ridge owns a total of 1,660 acres located in Ohio and West Virginia. Additionally, FYX and our railcar cleaning business lease space in Kentucky, Florida and Maine, respectively. We believe that our office facilities and properties are suitable and adequate for our business as it is contemplated to be conducted.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3. Legal Proceedings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4. Mine Safety Disclosures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00497F"/>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5. Market for Registrant's Common Equity, Related Stockholder Matters and Issuer Purchases of Equity Securities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common stock began trading on the NASDAQ under the symbol “FIP” on August 1, 2022, the date of the spin-off. There was no public trading market for our common stock before August 1, 2022. As of March 13, 2026, there were approximately 6 record holders of our common stock. This figure does not reflect the beneficial ownership of stock held in nominee name.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February 26, 2026, our board of directors declared a cash dividend on our common stock of $0.03 per share for the quarter ended December 31, 2025, payable on April 1, 2026 to the holders of record on March 13, 2026. We may change our dividend policy at any time and no assurances can be given that any future dividends will be paid or, if paid, as to the amounts or timing. For example, as discussed in Note 2 to the consolidated financial statements, the Company’s management intends to alleviate liquidity risk by, among other things, eliminating dividends on our common stock. The declaration and payment of dividends to holders of our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Performance Graph</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graph compares the cumulative total return for our common stock (stock price change plus reinvested dividends) with the comparable return of two indices: S&amp;P SmallCap 600 and Alerian MLP. The graph assumes an investment of $100 in our common stock and in each of the indices on August 1, 2022 (the date of the spin-off), and that all dividends were reinvested. The past performance of our stock is not an indication of future performance.</w:t>
      </w:r>
    </w:p>
    <w:p>
      <w:pPr>
        <w:spacing w:after="0" w:line="55"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auto"/>
        </w:rPr>
        <w:t>COMPARISON OF CUMULATIVE TOTAL RETURN*</w:t>
      </w:r>
    </w:p>
    <w:p>
      <w:pPr>
        <w:spacing w:after="0" w:line="10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Among FTAI Infrastructure Inc., the S&amp;P SmallCap 600 Index and the Alerian MLP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86360</wp:posOffset>
            </wp:positionV>
            <wp:extent cx="5837555" cy="3257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3755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*$100 invested on 8/1/22 in stock or 7/31/22 in index, including reinvestment of dividends. Fiscal year ending December 31.</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ind w:left="20"/>
              <w:spacing w:after="0"/>
              <w:rPr>
                <w:sz w:val="20"/>
                <w:szCs w:val="20"/>
                <w:color w:val="auto"/>
              </w:rPr>
            </w:pPr>
            <w:r>
              <w:rPr>
                <w:rFonts w:ascii="Arial" w:cs="Arial" w:eastAsia="Arial" w:hAnsi="Arial"/>
                <w:sz w:val="14"/>
                <w:szCs w:val="14"/>
                <w:i w:val="1"/>
                <w:iCs w:val="1"/>
                <w:color w:val="auto"/>
              </w:rPr>
              <w:t>(in whole dollars)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Index</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8/1/2022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12/31/2022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12/31/2023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12/31/2025</w:t>
            </w:r>
          </w:p>
        </w:tc>
      </w:tr>
      <w:tr>
        <w:trPr>
          <w:trHeight w:val="197"/>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Infrastructure Inc.</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152.78</w:t>
            </w:r>
          </w:p>
        </w:tc>
      </w:tr>
      <w:tr>
        <w:trPr>
          <w:trHeight w:val="198"/>
        </w:trPr>
        <w:tc>
          <w:tcPr>
            <w:tcW w:w="4240" w:type="dxa"/>
            <w:vAlign w:val="bottom"/>
          </w:tcPr>
          <w:p>
            <w:pPr>
              <w:ind w:left="20"/>
              <w:spacing w:after="0"/>
              <w:rPr>
                <w:sz w:val="20"/>
                <w:szCs w:val="20"/>
                <w:color w:val="auto"/>
              </w:rPr>
            </w:pPr>
            <w:r>
              <w:rPr>
                <w:rFonts w:ascii="Arial" w:cs="Arial" w:eastAsia="Arial" w:hAnsi="Arial"/>
                <w:sz w:val="14"/>
                <w:szCs w:val="14"/>
                <w:color w:val="auto"/>
              </w:rPr>
              <w:t>S&amp;P SmallCap 600</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94.09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109.19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118.69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125.83</w:t>
            </w: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Alerian MLP</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105.77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182.78</w:t>
            </w:r>
          </w:p>
        </w:tc>
      </w:tr>
      <w:tr>
        <w:trPr>
          <w:trHeight w:val="870"/>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35</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6"/>
        </w:trPr>
        <w:tc>
          <w:tcPr>
            <w:tcW w:w="4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00497F"/>
        </w:rPr>
        <w:t>Item 6. [Reserved]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 Management’s Discussion and Analysis of Financial Condition and Results of Operations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FTAI Infrastructure Inc. (“we”, “us”, “our”, or the “Company”). Our MD&amp;A should be read in conjunction with our consolidated financial statements and the accompanying notes, and with Part I, Item 1A, “Risk Factors” and “Forward-Looking Statements” included elsewhere in this Annual Report on Form 10-K.</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are in the business of acquiring, developing and operating assets and businesses that represent critical infrastructure for customers in the transportation, energy and industrial products industries. We were formed on December 13, 2021 as FTAI Infrastructure LLC, a Delaware limited liability company and subsidiary of FTAI Aviation Ltd. (previously Fortress Transportation and Infrastructure Investors LLC; “FTAI” or “Former Parent”). We are a publicly-traded company trading on The Nasdaq Global Select Market under the symbol “FIP.”</w:t>
      </w:r>
    </w:p>
    <w:p>
      <w:pPr>
        <w:spacing w:after="0" w:line="6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operations consist of four primary business lines: (i) Railroad, (ii) Ports and Terminals, (iii) Power and Gas and (iv) Sustainability and Energy Transition. Our Railroad business primarily invests in and operates short line and regional railroads in North America. Our Ports and Terminals business, consisting of our Jefferson Terminal and Repauno segments, develops or acquires industrial properties in strategic locations that store and handle for third parties a variety of energy products, including crude oil, refined products and clean fuels. Our Power and Gas business develops and operates facilities, such as a 485-megawatt power plant at the Long Ridge terminal in Ohio, that leverage the property’s location and key attributes to generate incremental value. Our Sustainability and Energy Transition business focuses on investments in companies and assets that utilize green technology, produce sustainable fuels and products or enable customers to reduce their carbon footprint. For the year ended December 31, 2025, our Railroad business accounted for 34% of our total revenue, our Ports and Terminals business accounted for 19% of our total revenue and our Power and Gas business accounted for 36% of our total revenue. Corporate and other sources accounted for the remaining 11% of our total revenue.</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expect to continue to invest in such market sectors and pursue additional investment opportunities in other infrastructure businesses and assets we believe to be attractive and meet our investment objectives. Our team focuses on acquiring a diverse group of long-lived assets or operating businesses that provide mission-critical services or functions to infrastructure networks and typically have high barriers to entry, strong margins, stable cash flows and upside from earnings growth and asset appreciation driven by increased use and inflation. We believe that there are a large number of acquisition opportunities in our markets and that our Manager’s expertise and business and financing relationships, together with our access to capital and generally available capital for infrastructure projects in today’s marketplace, will allow us to take advantage of these opportunities. As of December 31, 2025, we had total consolidated assets of $5.7 billion and redeemable preferred stock and equity of $944.0 million.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first quarter of 2023, we modified our definition of Adjusted EBITDA to exclude the impact of other non-recurring items, such as severance expense. All segment data and related disclosures for earlier periods presented herein have been recast to reflect this segment reporting structure.</w:t>
      </w:r>
    </w:p>
    <w:p>
      <w:pPr>
        <w:spacing w:after="0" w:line="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infrastructure assets. We have five reportable segments which operate in infrastructure businesses across several market sectors, all in North America. Our reportable segments are (i) Railroad, (ii) Jefferson Terminal, (iii) Repauno, (iv) Power and Gas and (v) Sustainability and Energy Transition. The Railroad segment is comprised of eight freight railroads and one switching company that provide rail service to certain manufacturing and production facilities, which includes the newly acquired Wheeling as of the third quarter of 2025 (refer to Note 3 for additional details). The Jefferson Terminal segment consists of a multi-modal crude oil and refined products terminal, Jefferson Terminal South and other related assets. The Repauno segment consists of a 1,630-acre deep-water port located along the Delaware River with an underground storage cavern, a multipurpose dock, a rail-to-ship transloading system and multiple industrial development opportunities. The Power and Gas segment is comprised of Long Ridge, which is a 1,660-acre multi-modal terminal located along the Ohio River with rail, dock, and multiple industrial development opportunities, including a power plant in operation. The Sustainability and Energy Transition segment is comprised of Aleon/Gladieux, Clean Planet, and CarbonFree, and all three investments are development stage businesses focused on sustainability and recycling.</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Corporate and Other primarily consists of unallocated corporate general and administrative expenses, management fees, debt and redeemable preferred stock. Additionally, Corporate and Other includes an operating company that provides roadside assistance services for the intermodal and over-the-road trucking industries. As of the second quarter of 2025, we have moved KRS, a railcar cleaning operation, from the Railroad segment to the Corporate and Other segment. As the chief operating decision maker (“CODM”) focuses on Transtar and Wheeling, a pure railroad business, within the Railroad segment results, we believe the change in segment for KRS better aligns with how the CODM reviews overall segment results. Due to the immateriality of the results of KRS, we will apply this change prospectively.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00497F"/>
        </w:rPr>
        <w:t>Our Manager</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14, 2024, certain members of Fortress management and affiliates of Mubadala Investment Company, through its wholly owned asset management subsidiary, Mubadala Capital (“Mubadala”), completed their acquisition of 100% of the equity of Fortress. Fortress continues to operate as an independent investment manager under the Fortress brand, with autonomy over investment processes and decision making, personnel and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this section, we discuss the results of our operations for the year ended December 31, 2025 compared to the year ended December 31, 2024. For a discussion of the year ended December 31, 2024 compared to the year ended December 31, 2023, please refer to Part II, Item 7, "Management's Discussion and Analysis of Financial Condition and Results of Operations" in our Annual Report on Form 10-K for the year ended December 31, 2024.</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as well as make resource and allocation decisions. We believe Adjusted EBITDA is a useful metric for investors and analysts for similar purposes of assessing our operational performance.</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Adjusted EBITDA is defined as net income (loss) attributable to stockholders, before series B preferred stock dividend and loss on extinguishment of preferred stock,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interest expense, interest and other costs on pension and OPEB liabilities, dividends and accretion of redeemable preferred stock, and other non-recurring items, (b) to include the impact of our pro-rata share of Adjusted EBITDA from unconsolidated entities, and (c) to exclude the impact of equity in earnings (losses) of unconsolidated entities and the non-controlling share of Adjusted EBITDA.</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that net income (loss) attributable to stockholders, before series B preferred stock dividend and loss on extinguishment of preferred stock, as defined by U.S. GAAP, is the most appropriate earnings measure with which to reconcile Adjusted EBITDA. Adjusted EBITDA should not be considered as an alternative to net income (loss) attributable to stockholders, before series B preferred stock dividend and loss on extinguishment of preferred stock as determined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8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5,089</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4,963</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3,089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 revenues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172,482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178,243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10,450</w:t>
            </w: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95,054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93,259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83,350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9,909</w:t>
            </w: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Power revenues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156,183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156,183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Arial" w:cs="Arial" w:eastAsia="Arial" w:hAnsi="Arial"/>
                <w:sz w:val="14"/>
                <w:szCs w:val="14"/>
                <w:color w:val="auto"/>
              </w:rPr>
              <w:t>Gas revenues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21,194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21,194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Roadside services revenues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52,194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(13,190)</w:t>
            </w:r>
          </w:p>
        </w:tc>
        <w:tc>
          <w:tcPr>
            <w:tcW w:w="0" w:type="dxa"/>
            <w:vAlign w:val="bottom"/>
          </w:tcPr>
          <w:p>
            <w:pPr>
              <w:spacing w:after="0"/>
              <w:rPr>
                <w:sz w:val="1"/>
                <w:szCs w:val="1"/>
                <w:color w:val="auto"/>
              </w:rPr>
            </w:pPr>
          </w:p>
        </w:tc>
      </w:tr>
      <w:tr>
        <w:trPr>
          <w:trHeight w:val="201"/>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1,982</w:t>
            </w: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502,520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331,497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320,472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171,023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11,025</w:t>
            </w:r>
          </w:p>
        </w:tc>
        <w:tc>
          <w:tcPr>
            <w:tcW w:w="0" w:type="dxa"/>
            <w:vAlign w:val="bottom"/>
          </w:tcPr>
          <w:p>
            <w:pPr>
              <w:spacing w:after="0"/>
              <w:rPr>
                <w:sz w:val="1"/>
                <w:szCs w:val="1"/>
                <w:color w:val="auto"/>
              </w:rPr>
            </w:pPr>
          </w:p>
        </w:tc>
      </w:tr>
      <w:tr>
        <w:trPr>
          <w:trHeight w:val="251"/>
        </w:trPr>
        <w:tc>
          <w:tcPr>
            <w:tcW w:w="5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299,587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247,674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253,672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51,913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(5,998)</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27,138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21,681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132,489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79,410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80,992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53,079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(1,582)</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4,401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72,336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(67,935)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71,593</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494,551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430,993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364,847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63,558</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66,146</w:t>
            </w:r>
          </w:p>
        </w:tc>
        <w:tc>
          <w:tcPr>
            <w:tcW w:w="0" w:type="dxa"/>
            <w:vAlign w:val="bottom"/>
          </w:tcPr>
          <w:p>
            <w:pPr>
              <w:spacing w:after="0"/>
              <w:rPr>
                <w:sz w:val="1"/>
                <w:szCs w:val="1"/>
                <w:color w:val="auto"/>
              </w:rPr>
            </w:pPr>
          </w:p>
        </w:tc>
      </w:tr>
      <w:tr>
        <w:trPr>
          <w:trHeight w:val="251"/>
        </w:trPr>
        <w:tc>
          <w:tcPr>
            <w:tcW w:w="5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67,799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(30,789)</w:t>
            </w: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128,842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126,472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(4,485)</w:t>
            </w: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modification or extinguishment of debt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(59,323)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(50,398)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(6,889)</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(265,914)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(122,108)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(99,603)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(143,806)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(22,505)</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20,751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20,904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14,318</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(163,341)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(163,255)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(112,905)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(50,350)</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(155,372)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107,379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(105,471)</w:t>
            </w:r>
          </w:p>
        </w:tc>
        <w:tc>
          <w:tcPr>
            <w:tcW w:w="0" w:type="dxa"/>
            <w:vAlign w:val="bottom"/>
          </w:tcPr>
          <w:p>
            <w:pPr>
              <w:spacing w:after="0"/>
              <w:rPr>
                <w:sz w:val="1"/>
                <w:szCs w:val="1"/>
                <w:color w:val="auto"/>
              </w:rPr>
            </w:pPr>
          </w:p>
        </w:tc>
      </w:tr>
      <w:tr>
        <w:trPr>
          <w:trHeight w:val="20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(152,054)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(266,064)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(159,750)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114,010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(106,314)</w:t>
            </w:r>
          </w:p>
        </w:tc>
        <w:tc>
          <w:tcPr>
            <w:tcW w:w="0" w:type="dxa"/>
            <w:vAlign w:val="bottom"/>
          </w:tcPr>
          <w:p>
            <w:pPr>
              <w:spacing w:after="0"/>
              <w:rPr>
                <w:sz w:val="1"/>
                <w:szCs w:val="1"/>
                <w:color w:val="auto"/>
              </w:rPr>
            </w:pPr>
          </w:p>
        </w:tc>
      </w:tr>
      <w:tr>
        <w:trPr>
          <w:trHeight w:val="133"/>
        </w:trPr>
        <w:tc>
          <w:tcPr>
            <w:tcW w:w="508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(44,880)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(42,419)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(38,414)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(2,461)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(4,005)</w:t>
            </w:r>
          </w:p>
        </w:tc>
        <w:tc>
          <w:tcPr>
            <w:tcW w:w="0" w:type="dxa"/>
            <w:vAlign w:val="bottom"/>
          </w:tcPr>
          <w:p>
            <w:pPr>
              <w:spacing w:after="0"/>
              <w:rPr>
                <w:sz w:val="1"/>
                <w:szCs w:val="1"/>
                <w:color w:val="auto"/>
              </w:rPr>
            </w:pPr>
          </w:p>
        </w:tc>
      </w:tr>
      <w:tr>
        <w:trPr>
          <w:trHeight w:val="185"/>
        </w:trPr>
        <w:tc>
          <w:tcPr>
            <w:tcW w:w="508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Preferred dividends and accretion on redeemable non-controlling</w:t>
            </w:r>
          </w:p>
        </w:tc>
        <w:tc>
          <w:tcPr>
            <w:tcW w:w="2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44,607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44,607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and accretion of redeemable preferred stock</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55,622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70,814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8,414</w:t>
            </w:r>
          </w:p>
        </w:tc>
        <w:tc>
          <w:tcPr>
            <w:tcW w:w="0" w:type="dxa"/>
            <w:vAlign w:val="bottom"/>
          </w:tcPr>
          <w:p>
            <w:pPr>
              <w:spacing w:after="0"/>
              <w:rPr>
                <w:sz w:val="1"/>
                <w:szCs w:val="1"/>
                <w:color w:val="auto"/>
              </w:rPr>
            </w:pPr>
          </w:p>
        </w:tc>
      </w:tr>
      <w:tr>
        <w:trPr>
          <w:trHeight w:val="134"/>
        </w:trPr>
        <w:tc>
          <w:tcPr>
            <w:tcW w:w="508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Net loss attributable to stockholders, before series B preferred stock</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(207,403)</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(294,459)</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(183,736)</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87,056</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(110,723)</w:t>
            </w:r>
          </w:p>
        </w:tc>
        <w:tc>
          <w:tcPr>
            <w:tcW w:w="0" w:type="dxa"/>
            <w:vAlign w:val="bottom"/>
          </w:tcPr>
          <w:p>
            <w:pPr>
              <w:spacing w:after="0"/>
              <w:rPr>
                <w:sz w:val="1"/>
                <w:szCs w:val="1"/>
                <w:color w:val="auto"/>
              </w:rPr>
            </w:pPr>
          </w:p>
        </w:tc>
      </w:tr>
      <w:tr>
        <w:trPr>
          <w:trHeight w:val="178"/>
        </w:trPr>
        <w:tc>
          <w:tcPr>
            <w:tcW w:w="508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dividend and loss on extinguishment of preferred stock</w:t>
            </w: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8" w:name="page39"/>
    <w:bookmarkEnd w:id="38"/>
    <w:p>
      <w:pPr>
        <w:spacing w:after="0" w:line="286" w:lineRule="auto"/>
        <w:rPr>
          <w:sz w:val="20"/>
          <w:szCs w:val="20"/>
          <w:color w:val="auto"/>
        </w:rPr>
      </w:pPr>
      <w:r>
        <w:rPr>
          <w:rFonts w:ascii="Arial" w:cs="Arial" w:eastAsia="Arial" w:hAnsi="Arial"/>
          <w:sz w:val="16"/>
          <w:szCs w:val="16"/>
          <w:color w:val="auto"/>
        </w:rPr>
        <w:t>The following table sets forth a reconciliation of net loss attributable to stockholders, before series B preferred stock dividend and loss on extinguishment of preferred stock to Adjusted EBITDA: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30"/>
        </w:trPr>
        <w:tc>
          <w:tcPr>
            <w:tcW w:w="502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attributable to stockholders, before series B preferred stock</w:t>
            </w: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(207,403)</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(294,459)</w:t>
            </w: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(183,736)</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87,056</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(110,723)</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dividend and loss on extinguishment of preferred stock</w:t>
            </w:r>
          </w:p>
        </w:tc>
        <w:tc>
          <w:tcPr>
            <w:tcW w:w="28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02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(3,318)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3,313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04"/>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8,636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01"/>
        </w:trPr>
        <w:tc>
          <w:tcPr>
            <w:tcW w:w="502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27,138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5,457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21,681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150"/>
        </w:trPr>
        <w:tc>
          <w:tcPr>
            <w:tcW w:w="5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Losses on the modification or extinguishment of debt and capital lease</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59,323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8,925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50,398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6,889</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02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(4,063)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(4,063)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204"/>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70,401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69,658</w:t>
            </w:r>
          </w:p>
        </w:tc>
        <w:tc>
          <w:tcPr>
            <w:tcW w:w="0" w:type="dxa"/>
            <w:vAlign w:val="bottom"/>
          </w:tcPr>
          <w:p>
            <w:pPr>
              <w:spacing w:after="0"/>
              <w:rPr>
                <w:sz w:val="1"/>
                <w:szCs w:val="1"/>
                <w:color w:val="auto"/>
              </w:rPr>
            </w:pPr>
          </w:p>
        </w:tc>
      </w:tr>
      <w:tr>
        <w:trPr>
          <w:trHeight w:val="201"/>
        </w:trPr>
        <w:tc>
          <w:tcPr>
            <w:tcW w:w="502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502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Depreciation &amp; amortization expense </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117,328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83,885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33,443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0" w:type="dxa"/>
            <w:vAlign w:val="bottom"/>
          </w:tcPr>
          <w:p>
            <w:pPr>
              <w:spacing w:after="0"/>
              <w:rPr>
                <w:sz w:val="1"/>
                <w:szCs w:val="1"/>
                <w:color w:val="auto"/>
              </w:rPr>
            </w:pPr>
          </w:p>
        </w:tc>
      </w:tr>
      <w:tr>
        <w:trPr>
          <w:trHeight w:val="201"/>
        </w:trPr>
        <w:tc>
          <w:tcPr>
            <w:tcW w:w="502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265,914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122,108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99,603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143,806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22,505</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30,875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20,272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2"/>
        </w:trPr>
        <w:tc>
          <w:tcPr>
            <w:tcW w:w="502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100,229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70,814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62,400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29,415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8,414</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Add: Other non-recurring items </w:t>
            </w:r>
            <w:r>
              <w:rPr>
                <w:rFonts w:ascii="Arial" w:cs="Arial" w:eastAsia="Arial" w:hAnsi="Arial"/>
                <w:sz w:val="18"/>
                <w:szCs w:val="18"/>
                <w:color w:val="auto"/>
                <w:vertAlign w:val="superscript"/>
              </w:rPr>
              <w:t>(3)</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55,496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30,789</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(4)</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(29,381)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(27,194)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(21,515)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(2,187)</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(5,679)</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361,224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127,588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107,522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233,636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64" w:lineRule="exact"/>
        <w:rPr>
          <w:sz w:val="20"/>
          <w:szCs w:val="20"/>
          <w:color w:val="auto"/>
        </w:rPr>
      </w:pPr>
    </w:p>
    <w:p>
      <w:pPr>
        <w:ind w:left="180" w:right="20" w:hanging="172"/>
        <w:spacing w:after="0" w:line="231" w:lineRule="auto"/>
        <w:tabs>
          <w:tab w:leader="none" w:pos="192"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2025, 2024 and 2023: (i) depreciation and amortization expense of $132,489, $79,410 and $80,992, (ii) capitalized contract costs amortization of $4,931, $4,475 and $549 and (iii) amortization of other comprehensive income of $(20,092), $— and $—, respectively.</w:t>
      </w:r>
    </w:p>
    <w:p>
      <w:pPr>
        <w:spacing w:after="0" w:line="26" w:lineRule="exact"/>
        <w:rPr>
          <w:rFonts w:ascii="Arial" w:cs="Arial" w:eastAsia="Arial" w:hAnsi="Arial"/>
          <w:sz w:val="19"/>
          <w:szCs w:val="19"/>
          <w:color w:val="auto"/>
          <w:vertAlign w:val="superscript"/>
        </w:rPr>
      </w:pPr>
    </w:p>
    <w:p>
      <w:pPr>
        <w:jc w:val="both"/>
        <w:ind w:left="180" w:hanging="172"/>
        <w:spacing w:after="0" w:line="272" w:lineRule="auto"/>
        <w:tabs>
          <w:tab w:leader="none" w:pos="191"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Includes the following items for the years ended December 31, 2025, 2024 and 2023: (i) net income (loss) of $21,206, $(55,656) and $(23,752), (ii) interest expense of $8,574, $43,549 and $34,686, (iii) depreciation and amortization expense of $9,029, $28,115 and $27,685, (iv) acquisition and transaction expenses of $201, $209 and $445,</w:t>
      </w:r>
    </w:p>
    <w:p>
      <w:pPr>
        <w:jc w:val="both"/>
        <w:ind w:left="180"/>
        <w:spacing w:after="0" w:line="272" w:lineRule="auto"/>
        <w:rPr>
          <w:rFonts w:ascii="Arial" w:cs="Arial" w:eastAsia="Arial" w:hAnsi="Arial"/>
          <w:sz w:val="9"/>
          <w:szCs w:val="9"/>
          <w:color w:val="auto"/>
        </w:rPr>
      </w:pPr>
      <w:r>
        <w:rPr>
          <w:rFonts w:ascii="Arial" w:cs="Arial" w:eastAsia="Arial" w:hAnsi="Arial"/>
          <w:sz w:val="14"/>
          <w:szCs w:val="14"/>
          <w:color w:val="auto"/>
        </w:rPr>
        <w:t>(v) changes in fair value of non-hedge derivative instruments of $(12,822), $(1,488) and $(18,904), (vi) asset impairment charges of $—, $274 and $1,135, (vii) equity-based compensation expense of $—, $2 and $5, (viii) losses on modification or extinguishment of debt of $—, $4,724 and $—, (ix) equity method basis adjustments of $10, $65 and $(1,091), (x) provision for income taxes of $4,676, $— and $— and (xi) other non-recurring items of $1, $478 and $—, respectively.</w:t>
      </w:r>
    </w:p>
    <w:p>
      <w:pPr>
        <w:spacing w:after="0" w:line="5" w:lineRule="exact"/>
        <w:rPr>
          <w:rFonts w:ascii="Arial" w:cs="Arial" w:eastAsia="Arial" w:hAnsi="Arial"/>
          <w:sz w:val="9"/>
          <w:szCs w:val="9"/>
          <w:color w:val="auto"/>
        </w:rPr>
      </w:pPr>
    </w:p>
    <w:p>
      <w:pPr>
        <w:ind w:left="160" w:hanging="152"/>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Includes the following items for the year ended December 31, 2025: (i) incidental utility rebillings of $650, (ii) loss on inventory heel of $385, (iii) Railroad severance expense</w:t>
      </w:r>
    </w:p>
    <w:p>
      <w:pPr>
        <w:spacing w:after="0" w:line="28" w:lineRule="exact"/>
        <w:rPr>
          <w:rFonts w:ascii="Arial" w:cs="Arial" w:eastAsia="Arial" w:hAnsi="Arial"/>
          <w:sz w:val="9"/>
          <w:szCs w:val="9"/>
          <w:color w:val="auto"/>
        </w:rPr>
      </w:pPr>
    </w:p>
    <w:p>
      <w:pPr>
        <w:ind w:left="180"/>
        <w:spacing w:after="0" w:line="284" w:lineRule="auto"/>
        <w:rPr>
          <w:rFonts w:ascii="Arial" w:cs="Arial" w:eastAsia="Arial" w:hAnsi="Arial"/>
          <w:sz w:val="9"/>
          <w:szCs w:val="9"/>
          <w:color w:val="auto"/>
        </w:rPr>
      </w:pPr>
      <w:r>
        <w:rPr>
          <w:rFonts w:ascii="Arial" w:cs="Arial" w:eastAsia="Arial" w:hAnsi="Arial"/>
          <w:sz w:val="14"/>
          <w:szCs w:val="14"/>
          <w:color w:val="auto"/>
        </w:rPr>
        <w:t>of $305 and (iv) non-ordinary professional fees of $955. Includes the following items for the year ended December 31, 2023: certain non-cash expenses related to the cancellation of restricted shares of $1,131 and Railroad severance expense of $1,339.</w:t>
      </w:r>
    </w:p>
    <w:p>
      <w:pPr>
        <w:spacing w:after="0" w:line="9" w:lineRule="exact"/>
        <w:rPr>
          <w:rFonts w:ascii="Arial" w:cs="Arial" w:eastAsia="Arial" w:hAnsi="Arial"/>
          <w:sz w:val="9"/>
          <w:szCs w:val="9"/>
          <w:color w:val="auto"/>
        </w:rPr>
      </w:pPr>
    </w:p>
    <w:p>
      <w:pPr>
        <w:jc w:val="both"/>
        <w:ind w:left="180" w:hanging="172"/>
        <w:spacing w:after="0" w:line="244" w:lineRule="auto"/>
        <w:tabs>
          <w:tab w:leader="none" w:pos="181"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2025, 2024 and 2023: (i) equity-based compensation expense of $449, $1,127 and $1,412, (ii) provision for (benefit from) income taxes of $(219), $(510) and $578, (iii) interest expense of $15,569, $11,555 and $7,391, (iv) depreciation and amortization expense of $12,543, $12,930 and $11,752, (v) changes in fair value of non-hedge derivative instruments of $(25), $— and $63, (vi) acquisition and transaction expenses of $278, $7 and $307, (vii) interest and other costs on pension and OPEB liabilities of $(5), $(1), and $6, (viii) asset impairment charges of $24, $— and $2, (ix) equity in earnings of unconsolidated entities of $96, $— and $—, (x) dividends and accretion of redeemable preferred stock of $243, $— and $—, (xi) losses on modification or extinguishment of debt of $367, $2,086 and $</w:t>
      </w:r>
    </w:p>
    <w:p>
      <w:pPr>
        <w:spacing w:after="0" w:line="1" w:lineRule="exact"/>
        <w:rPr>
          <w:rFonts w:ascii="Arial" w:cs="Arial" w:eastAsia="Arial" w:hAnsi="Arial"/>
          <w:sz w:val="19"/>
          <w:szCs w:val="19"/>
          <w:color w:val="auto"/>
          <w:vertAlign w:val="superscript"/>
        </w:rPr>
      </w:pPr>
    </w:p>
    <w:p>
      <w:pPr>
        <w:ind w:left="180"/>
        <w:spacing w:after="0"/>
        <w:rPr>
          <w:rFonts w:ascii="Arial" w:cs="Arial" w:eastAsia="Arial" w:hAnsi="Arial"/>
          <w:sz w:val="19"/>
          <w:szCs w:val="19"/>
          <w:color w:val="auto"/>
          <w:vertAlign w:val="superscript"/>
        </w:rPr>
      </w:pPr>
      <w:r>
        <w:rPr>
          <w:rFonts w:ascii="Arial" w:cs="Arial" w:eastAsia="Arial" w:hAnsi="Arial"/>
          <w:sz w:val="14"/>
          <w:szCs w:val="14"/>
          <w:color w:val="auto"/>
        </w:rPr>
        <w:t>— and (xii) other non-recurring items of $61, $— and $4,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2025 and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$171.0 million primarily due to higher revenues in the Power and Gas and Jefferson Terminal segments.</w:t>
      </w:r>
    </w:p>
    <w:p>
      <w:pPr>
        <w:spacing w:after="0" w:line="127" w:lineRule="exact"/>
        <w:rPr>
          <w:sz w:val="20"/>
          <w:szCs w:val="20"/>
          <w:color w:val="auto"/>
        </w:rPr>
      </w:pPr>
    </w:p>
    <w:p>
      <w:pPr>
        <w:jc w:val="both"/>
        <w:ind w:left="660" w:hanging="328"/>
        <w:spacing w:after="0" w:line="275" w:lineRule="auto"/>
        <w:tabs>
          <w:tab w:leader="none" w:pos="649" w:val="left"/>
        </w:tabs>
        <w:numPr>
          <w:ilvl w:val="0"/>
          <w:numId w:val="15"/>
        </w:numPr>
        <w:rPr>
          <w:rFonts w:ascii="Arial" w:cs="Arial" w:eastAsia="Arial" w:hAnsi="Arial"/>
          <w:sz w:val="16"/>
          <w:szCs w:val="16"/>
          <w:b w:val="1"/>
          <w:bCs w:val="1"/>
          <w:i w:val="1"/>
          <w:iCs w:val="1"/>
          <w:color w:val="00497F"/>
        </w:rPr>
      </w:pPr>
      <w:r>
        <w:rPr>
          <w:rFonts w:ascii="Arial" w:cs="Arial" w:eastAsia="Arial" w:hAnsi="Arial"/>
          <w:sz w:val="16"/>
          <w:szCs w:val="16"/>
          <w:color w:val="auto"/>
        </w:rPr>
        <w:t>Terminal services revenue increased $1.8 million due to (i) an increase in average refined oil throughput volumes at Jefferson Terminal and (ii) an increase due to the acquisition of GCM’s 49.9% interest in Long Ridge Energy &amp; Power LLC in February 2025, offset by a decrease due to lower volumes stemming from the terminal’s new butane throughput contract that commenced in April 2025 at Repauno;</w:t>
      </w:r>
    </w:p>
    <w:p>
      <w:pPr>
        <w:spacing w:after="0" w:line="56" w:lineRule="exact"/>
        <w:rPr>
          <w:rFonts w:ascii="Arial" w:cs="Arial" w:eastAsia="Arial" w:hAnsi="Arial"/>
          <w:sz w:val="16"/>
          <w:szCs w:val="16"/>
          <w:b w:val="1"/>
          <w:bCs w:val="1"/>
          <w:i w:val="1"/>
          <w:iCs w:val="1"/>
          <w:color w:val="00497F"/>
        </w:rPr>
      </w:pPr>
    </w:p>
    <w:p>
      <w:pPr>
        <w:ind w:left="640" w:hanging="308"/>
        <w:spacing w:after="0"/>
        <w:tabs>
          <w:tab w:leader="none" w:pos="640" w:val="left"/>
        </w:tabs>
        <w:numPr>
          <w:ilvl w:val="0"/>
          <w:numId w:val="15"/>
        </w:numPr>
        <w:rPr>
          <w:rFonts w:ascii="Arial" w:cs="Arial" w:eastAsia="Arial" w:hAnsi="Arial"/>
          <w:sz w:val="16"/>
          <w:szCs w:val="16"/>
          <w:b w:val="1"/>
          <w:bCs w:val="1"/>
          <w:i w:val="1"/>
          <w:iCs w:val="1"/>
          <w:color w:val="00497F"/>
        </w:rPr>
      </w:pPr>
      <w:r>
        <w:rPr>
          <w:rFonts w:ascii="Arial" w:cs="Arial" w:eastAsia="Arial" w:hAnsi="Arial"/>
          <w:sz w:val="16"/>
          <w:szCs w:val="16"/>
          <w:color w:val="auto"/>
        </w:rPr>
        <w:t>Power revenues increased $156.2 million due to the acquisition of GCM’s 49.9% interest in Long Ridge Energy &amp; Power LLC in February 2025;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9" w:name="page40"/>
    <w:bookmarkEnd w:id="39"/>
    <w:p>
      <w:pPr>
        <w:ind w:left="660" w:right="20" w:hanging="328"/>
        <w:spacing w:after="0" w:line="286" w:lineRule="auto"/>
        <w:tabs>
          <w:tab w:leader="none" w:pos="649" w:val="left"/>
        </w:tabs>
        <w:numPr>
          <w:ilvl w:val="0"/>
          <w:numId w:val="16"/>
        </w:numPr>
        <w:rPr>
          <w:rFonts w:ascii="Arial" w:cs="Arial" w:eastAsia="Arial" w:hAnsi="Arial"/>
          <w:sz w:val="16"/>
          <w:szCs w:val="16"/>
          <w:b w:val="1"/>
          <w:bCs w:val="1"/>
          <w:i w:val="1"/>
          <w:iCs w:val="1"/>
          <w:color w:val="00497F"/>
        </w:rPr>
      </w:pPr>
      <w:r>
        <w:rPr>
          <w:rFonts w:ascii="Arial" w:cs="Arial" w:eastAsia="Arial" w:hAnsi="Arial"/>
          <w:sz w:val="16"/>
          <w:szCs w:val="16"/>
          <w:color w:val="auto"/>
        </w:rPr>
        <w:t>Gas revenues increased $21.2 million due to the acquisition of GCM’s 49.9% interest in Long Ridge Energy &amp; Power LLC in February 2025; partially offset by</w:t>
      </w:r>
    </w:p>
    <w:p>
      <w:pPr>
        <w:spacing w:after="0" w:line="61" w:lineRule="exact"/>
        <w:rPr>
          <w:rFonts w:ascii="Arial" w:cs="Arial" w:eastAsia="Arial" w:hAnsi="Arial"/>
          <w:sz w:val="16"/>
          <w:szCs w:val="16"/>
          <w:b w:val="1"/>
          <w:bCs w:val="1"/>
          <w:i w:val="1"/>
          <w:iCs w:val="1"/>
          <w:color w:val="00497F"/>
        </w:rPr>
      </w:pPr>
    </w:p>
    <w:p>
      <w:pPr>
        <w:ind w:left="640" w:hanging="308"/>
        <w:spacing w:after="0"/>
        <w:tabs>
          <w:tab w:leader="none" w:pos="640" w:val="left"/>
        </w:tabs>
        <w:numPr>
          <w:ilvl w:val="0"/>
          <w:numId w:val="16"/>
        </w:numPr>
        <w:rPr>
          <w:rFonts w:ascii="Arial" w:cs="Arial" w:eastAsia="Arial" w:hAnsi="Arial"/>
          <w:sz w:val="16"/>
          <w:szCs w:val="16"/>
          <w:b w:val="1"/>
          <w:bCs w:val="1"/>
          <w:i w:val="1"/>
          <w:iCs w:val="1"/>
          <w:color w:val="00497F"/>
        </w:rPr>
      </w:pPr>
      <w:r>
        <w:rPr>
          <w:rFonts w:ascii="Arial" w:cs="Arial" w:eastAsia="Arial" w:hAnsi="Arial"/>
          <w:sz w:val="16"/>
          <w:szCs w:val="16"/>
          <w:color w:val="auto"/>
        </w:rPr>
        <w:t>Rail revenues decreased $5.8 million primarily due to decreased carloads in the Railroad segment; and</w:t>
      </w:r>
    </w:p>
    <w:p>
      <w:pPr>
        <w:spacing w:after="0" w:line="113" w:lineRule="exact"/>
        <w:rPr>
          <w:rFonts w:ascii="Arial" w:cs="Arial" w:eastAsia="Arial" w:hAnsi="Arial"/>
          <w:sz w:val="16"/>
          <w:szCs w:val="16"/>
          <w:b w:val="1"/>
          <w:bCs w:val="1"/>
          <w:i w:val="1"/>
          <w:iCs w:val="1"/>
          <w:color w:val="00497F"/>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Roadside services revenue decreased $2.8 million due to a decrease in roadside services at FYX.</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Total expenses increased $63.6 million primarily due to an increase in (i) operating expenses, (ii) general and administrative expense, (iii) acquisition and transaction expenses and (iv) depreciation and amortization, offset by a decrease in asset impairment.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$51.9 million primarily due to:</w:t>
      </w:r>
    </w:p>
    <w:p>
      <w:pPr>
        <w:spacing w:after="0" w:line="113" w:lineRule="exact"/>
        <w:rPr>
          <w:sz w:val="20"/>
          <w:szCs w:val="20"/>
          <w:color w:val="auto"/>
        </w:rPr>
      </w:pPr>
    </w:p>
    <w:p>
      <w:pPr>
        <w:ind w:left="660" w:hanging="328"/>
        <w:spacing w:after="0" w:line="304" w:lineRule="auto"/>
        <w:tabs>
          <w:tab w:leader="none" w:pos="649" w:val="left"/>
        </w:tabs>
        <w:numPr>
          <w:ilvl w:val="0"/>
          <w:numId w:val="17"/>
        </w:numPr>
        <w:rPr>
          <w:rFonts w:ascii="Arial" w:cs="Arial" w:eastAsia="Arial" w:hAnsi="Arial"/>
          <w:sz w:val="16"/>
          <w:szCs w:val="16"/>
          <w:b w:val="1"/>
          <w:bCs w:val="1"/>
          <w:i w:val="1"/>
          <w:iCs w:val="1"/>
          <w:color w:val="00497F"/>
        </w:rPr>
      </w:pPr>
      <w:r>
        <w:rPr>
          <w:rFonts w:ascii="Arial" w:cs="Arial" w:eastAsia="Arial" w:hAnsi="Arial"/>
          <w:sz w:val="16"/>
          <w:szCs w:val="16"/>
          <w:color w:val="auto"/>
        </w:rPr>
        <w:t>an increase of $60.2 million in the Power and Gas segment primarily due to increased drilling expenses at Ohio Gasco LLC and Long Ridge West Virginia, as well as increased legal expenses; partially offset by</w:t>
      </w:r>
    </w:p>
    <w:p>
      <w:pPr>
        <w:spacing w:after="0" w:line="33" w:lineRule="exact"/>
        <w:rPr>
          <w:rFonts w:ascii="Arial" w:cs="Arial" w:eastAsia="Arial" w:hAnsi="Arial"/>
          <w:sz w:val="16"/>
          <w:szCs w:val="16"/>
          <w:b w:val="1"/>
          <w:bCs w:val="1"/>
          <w:i w:val="1"/>
          <w:iCs w:val="1"/>
          <w:color w:val="00497F"/>
        </w:rPr>
      </w:pPr>
    </w:p>
    <w:p>
      <w:pPr>
        <w:ind w:left="640" w:hanging="308"/>
        <w:spacing w:after="0"/>
        <w:tabs>
          <w:tab w:leader="none" w:pos="640" w:val="left"/>
        </w:tabs>
        <w:numPr>
          <w:ilvl w:val="0"/>
          <w:numId w:val="17"/>
        </w:numPr>
        <w:rPr>
          <w:rFonts w:ascii="Arial" w:cs="Arial" w:eastAsia="Arial" w:hAnsi="Arial"/>
          <w:sz w:val="16"/>
          <w:szCs w:val="16"/>
          <w:b w:val="1"/>
          <w:bCs w:val="1"/>
          <w:i w:val="1"/>
          <w:iCs w:val="1"/>
          <w:color w:val="00497F"/>
        </w:rPr>
      </w:pPr>
      <w:r>
        <w:rPr>
          <w:rFonts w:ascii="Arial" w:cs="Arial" w:eastAsia="Arial" w:hAnsi="Arial"/>
          <w:sz w:val="16"/>
          <w:szCs w:val="16"/>
          <w:color w:val="auto"/>
        </w:rPr>
        <w:t>a decrease of $0.8 million at Repauno which primarily reflects lower repairs and maintenance and labor costs;</w:t>
      </w:r>
    </w:p>
    <w:p>
      <w:pPr>
        <w:spacing w:after="0" w:line="113" w:lineRule="exact"/>
        <w:rPr>
          <w:rFonts w:ascii="Arial" w:cs="Arial" w:eastAsia="Arial" w:hAnsi="Arial"/>
          <w:sz w:val="16"/>
          <w:szCs w:val="16"/>
          <w:b w:val="1"/>
          <w:bCs w:val="1"/>
          <w:i w:val="1"/>
          <w:iCs w:val="1"/>
          <w:color w:val="00497F"/>
        </w:rPr>
      </w:pPr>
    </w:p>
    <w:p>
      <w:pPr>
        <w:ind w:left="640" w:hanging="308"/>
        <w:spacing w:after="0"/>
        <w:tabs>
          <w:tab w:leader="none" w:pos="640" w:val="left"/>
        </w:tabs>
        <w:numPr>
          <w:ilvl w:val="0"/>
          <w:numId w:val="17"/>
        </w:numPr>
        <w:rPr>
          <w:rFonts w:ascii="Arial" w:cs="Arial" w:eastAsia="Arial" w:hAnsi="Arial"/>
          <w:sz w:val="16"/>
          <w:szCs w:val="16"/>
          <w:b w:val="1"/>
          <w:bCs w:val="1"/>
          <w:i w:val="1"/>
          <w:iCs w:val="1"/>
          <w:color w:val="00497F"/>
        </w:rPr>
      </w:pPr>
      <w:r>
        <w:rPr>
          <w:rFonts w:ascii="Arial" w:cs="Arial" w:eastAsia="Arial" w:hAnsi="Arial"/>
          <w:sz w:val="16"/>
          <w:szCs w:val="16"/>
          <w:color w:val="auto"/>
        </w:rPr>
        <w:t>a decrease of $2.6 million at Jefferson Terminal which primarily reflects lower costs associated with insurance and equity-based compensation; and</w:t>
      </w:r>
    </w:p>
    <w:p>
      <w:pPr>
        <w:spacing w:after="0" w:line="126" w:lineRule="exact"/>
        <w:rPr>
          <w:rFonts w:ascii="Arial" w:cs="Arial" w:eastAsia="Arial" w:hAnsi="Arial"/>
          <w:sz w:val="16"/>
          <w:szCs w:val="16"/>
          <w:b w:val="1"/>
          <w:bCs w:val="1"/>
          <w:i w:val="1"/>
          <w:iCs w:val="1"/>
          <w:color w:val="00497F"/>
        </w:rPr>
      </w:pPr>
    </w:p>
    <w:p>
      <w:pPr>
        <w:ind w:left="640" w:hanging="308"/>
        <w:spacing w:after="0"/>
        <w:tabs>
          <w:tab w:leader="none" w:pos="640" w:val="left"/>
        </w:tabs>
        <w:numPr>
          <w:ilvl w:val="0"/>
          <w:numId w:val="17"/>
        </w:numPr>
        <w:rPr>
          <w:rFonts w:ascii="Arial" w:cs="Arial" w:eastAsia="Arial" w:hAnsi="Arial"/>
          <w:sz w:val="16"/>
          <w:szCs w:val="16"/>
          <w:b w:val="1"/>
          <w:bCs w:val="1"/>
          <w:i w:val="1"/>
          <w:iCs w:val="1"/>
          <w:color w:val="00497F"/>
        </w:rPr>
      </w:pPr>
      <w:r>
        <w:rPr>
          <w:rFonts w:ascii="Arial" w:cs="Arial" w:eastAsia="Arial" w:hAnsi="Arial"/>
          <w:sz w:val="16"/>
          <w:szCs w:val="16"/>
          <w:color w:val="auto"/>
        </w:rPr>
        <w:t>a decrease of $5.6 million in the Railroad segment primarily due to decreased carloads.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increased $1.4 million due to higher professional fees in the Corporate and Other segment.</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Acquisition and transaction expenses increased $21.7 million primarily due to (i) increased consulting and legal fees related to the acquisition of GCM’s 49.9% interest in Long Ridge Energy &amp; Power LLC in the Power and Gas segment in February 2025, (ii) an increase due to the acquisition of Wheeling in December 2025 and costs for the warrants issued in August 2025 in the Railroad segment, (iii) an increase in consulting fees in the Repauno segment and (iv) higher professional fees in the Corporate and Other segment.</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Depreciation and amortization increased $53.1 million which primarily reflects an increase in the Power and Gas Segment related to depreciation expense at the Terminal and Power Plant businesses as a result of the acquisition of 100% of Long Ridge in February 2025.</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Asset impairment decreased $67.9 million due to prior year impairment of our investment in GM-FTAI Holdco LLC in the Sustainability and Energy Transition segment, offset by a railcar adjustment in the Railroad segment in the current year.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increased by an immaterial amount which reflects:</w:t>
      </w:r>
    </w:p>
    <w:p>
      <w:pPr>
        <w:spacing w:after="0" w:line="113" w:lineRule="exact"/>
        <w:rPr>
          <w:sz w:val="20"/>
          <w:szCs w:val="20"/>
          <w:color w:val="auto"/>
        </w:rPr>
      </w:pPr>
    </w:p>
    <w:p>
      <w:pPr>
        <w:jc w:val="both"/>
        <w:ind w:left="660" w:hanging="328"/>
        <w:spacing w:after="0" w:line="275" w:lineRule="auto"/>
        <w:tabs>
          <w:tab w:leader="none" w:pos="649" w:val="left"/>
        </w:tabs>
        <w:numPr>
          <w:ilvl w:val="0"/>
          <w:numId w:val="18"/>
        </w:numPr>
        <w:rPr>
          <w:rFonts w:ascii="Arial" w:cs="Arial" w:eastAsia="Arial" w:hAnsi="Arial"/>
          <w:sz w:val="16"/>
          <w:szCs w:val="16"/>
          <w:b w:val="1"/>
          <w:bCs w:val="1"/>
          <w:i w:val="1"/>
          <w:iCs w:val="1"/>
          <w:color w:val="00497F"/>
        </w:rPr>
      </w:pPr>
      <w:r>
        <w:rPr>
          <w:rFonts w:ascii="Arial" w:cs="Arial" w:eastAsia="Arial" w:hAnsi="Arial"/>
          <w:sz w:val="16"/>
          <w:szCs w:val="16"/>
          <w:color w:val="auto"/>
        </w:rPr>
        <w:t>an increase in interest expense of $143.8 million primarily due to an increase in the average outstanding debt of approximately $1.7 billion which consists of (i) $282.8 million for the Corporate Bridge Loan, (ii) $242.2 million for the Series 2025 Bonds, (iii) $81.9 million for the Series 2024 Bonds, (iv) $1.1 billion for Long Ridge Energy &amp; Power LLC debt and (v) $8.3 million for the RailCo Revolver; and</w:t>
      </w:r>
    </w:p>
    <w:p>
      <w:pPr>
        <w:spacing w:after="0" w:line="123" w:lineRule="exact"/>
        <w:rPr>
          <w:rFonts w:ascii="Arial" w:cs="Arial" w:eastAsia="Arial" w:hAnsi="Arial"/>
          <w:sz w:val="16"/>
          <w:szCs w:val="16"/>
          <w:b w:val="1"/>
          <w:bCs w:val="1"/>
          <w:i w:val="1"/>
          <w:iCs w:val="1"/>
          <w:color w:val="00497F"/>
        </w:rPr>
      </w:pPr>
    </w:p>
    <w:p>
      <w:pPr>
        <w:jc w:val="both"/>
        <w:ind w:left="660" w:hanging="328"/>
        <w:spacing w:after="0" w:line="271" w:lineRule="auto"/>
        <w:tabs>
          <w:tab w:leader="none" w:pos="649" w:val="left"/>
        </w:tabs>
        <w:numPr>
          <w:ilvl w:val="0"/>
          <w:numId w:val="18"/>
        </w:numPr>
        <w:rPr>
          <w:rFonts w:ascii="Arial" w:cs="Arial" w:eastAsia="Arial" w:hAnsi="Arial"/>
          <w:sz w:val="16"/>
          <w:szCs w:val="16"/>
          <w:b w:val="1"/>
          <w:bCs w:val="1"/>
          <w:i w:val="1"/>
          <w:iCs w:val="1"/>
          <w:color w:val="00497F"/>
        </w:rPr>
      </w:pPr>
      <w:r>
        <w:rPr>
          <w:rFonts w:ascii="Arial" w:cs="Arial" w:eastAsia="Arial" w:hAnsi="Arial"/>
          <w:sz w:val="16"/>
          <w:szCs w:val="16"/>
          <w:color w:val="auto"/>
        </w:rPr>
        <w:t>an increase in loss on modification or extinguishment of debt of $50.4 million primarily due to (i) an increase of $55.2 million for the paydown of the Senior Notes due 2027 in August 2025 in the Corporate and Other segment and (ii) an increase of $3.3 million for the payoff of the DRP Revolver and March 2025 Credit Agreement at Repauno, partially offset by a decrease of $8.2 million for debt in the prior year at Jefferson Terminal; partially offset by</w:t>
      </w:r>
    </w:p>
    <w:p>
      <w:pPr>
        <w:spacing w:after="0" w:line="59" w:lineRule="exact"/>
        <w:rPr>
          <w:rFonts w:ascii="Arial" w:cs="Arial" w:eastAsia="Arial" w:hAnsi="Arial"/>
          <w:sz w:val="16"/>
          <w:szCs w:val="16"/>
          <w:b w:val="1"/>
          <w:bCs w:val="1"/>
          <w:i w:val="1"/>
          <w:iCs w:val="1"/>
          <w:color w:val="00497F"/>
        </w:rPr>
      </w:pPr>
    </w:p>
    <w:p>
      <w:pPr>
        <w:jc w:val="both"/>
        <w:ind w:left="660" w:hanging="328"/>
        <w:spacing w:after="0" w:line="260" w:lineRule="auto"/>
        <w:tabs>
          <w:tab w:leader="none" w:pos="649" w:val="left"/>
        </w:tabs>
        <w:numPr>
          <w:ilvl w:val="0"/>
          <w:numId w:val="18"/>
        </w:numPr>
        <w:rPr>
          <w:rFonts w:ascii="Arial" w:cs="Arial" w:eastAsia="Arial" w:hAnsi="Arial"/>
          <w:sz w:val="16"/>
          <w:szCs w:val="16"/>
          <w:b w:val="1"/>
          <w:bCs w:val="1"/>
          <w:i w:val="1"/>
          <w:iCs w:val="1"/>
          <w:color w:val="00497F"/>
        </w:rPr>
      </w:pPr>
      <w:r>
        <w:rPr>
          <w:rFonts w:ascii="Arial" w:cs="Arial" w:eastAsia="Arial" w:hAnsi="Arial"/>
          <w:sz w:val="16"/>
          <w:szCs w:val="16"/>
          <w:color w:val="auto"/>
        </w:rPr>
        <w:t>an increase in equity in earnings of unconsolidated entities of $67.8 million which primarily reflects (i) the equity pickup of Long Ridge Energy &amp; Power LLC net losses in the Power and Gas segment in the prior year, while there were only two months of equity pickup in the current year since 100% of Long Ridge Energy &amp; Power LLC was acquired in February 2025, and therefore no equity pickup recorded after the acquisition and (ii) the equity pickup of Wheeling in the Railroad segment from August through December when Wheeling was consolidated, partially offset by a decrease due to lower operating losses at GM-FTAI Holdco LLC in the Sustainability and Energy Transition segment; and</w:t>
      </w:r>
    </w:p>
    <w:p>
      <w:pPr>
        <w:spacing w:after="0" w:line="83" w:lineRule="exact"/>
        <w:rPr>
          <w:rFonts w:ascii="Arial" w:cs="Arial" w:eastAsia="Arial" w:hAnsi="Arial"/>
          <w:sz w:val="16"/>
          <w:szCs w:val="16"/>
          <w:b w:val="1"/>
          <w:bCs w:val="1"/>
          <w:i w:val="1"/>
          <w:iCs w:val="1"/>
          <w:color w:val="00497F"/>
        </w:rPr>
      </w:pPr>
    </w:p>
    <w:p>
      <w:pPr>
        <w:jc w:val="both"/>
        <w:ind w:left="660" w:hanging="328"/>
        <w:spacing w:after="0" w:line="275" w:lineRule="auto"/>
        <w:tabs>
          <w:tab w:leader="none" w:pos="649" w:val="left"/>
        </w:tabs>
        <w:numPr>
          <w:ilvl w:val="0"/>
          <w:numId w:val="18"/>
        </w:numPr>
        <w:rPr>
          <w:rFonts w:ascii="Arial" w:cs="Arial" w:eastAsia="Arial" w:hAnsi="Arial"/>
          <w:sz w:val="16"/>
          <w:szCs w:val="16"/>
          <w:b w:val="1"/>
          <w:bCs w:val="1"/>
          <w:i w:val="1"/>
          <w:iCs w:val="1"/>
          <w:color w:val="00497F"/>
        </w:rPr>
      </w:pPr>
      <w:r>
        <w:rPr>
          <w:rFonts w:ascii="Arial" w:cs="Arial" w:eastAsia="Arial" w:hAnsi="Arial"/>
          <w:sz w:val="16"/>
          <w:szCs w:val="16"/>
          <w:color w:val="auto"/>
        </w:rPr>
        <w:t>an increase in gain on the sale of assets of $126.5 million primarily due to (i) the acquisition of 100% of Long Ridge in February 2025 in the Power and Gas segment and (ii) gain on sale of equity method investment in Clean Planet Energy USA LLC in the Sustainability and Energy Transition segment, partially offset by a decrease at Jefferson Terminal due to a gain recognized in the prior year.</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(Benefit from) provision for income taxes</w:t>
      </w:r>
    </w:p>
    <w:p>
      <w:pPr>
        <w:spacing w:after="0" w:line="165"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Benefit from income taxes increased $6.6 million primarily due to the partial release of the valuation allowance in connection with the acquisition of GCM’s 49.9% interest in Long Ridge Energy &amp; Power LLC in February 2025.</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i w:val="1"/>
          <w:iCs w:val="1"/>
          <w:color w:val="00497F"/>
        </w:rPr>
        <w:t>Preferred dividends and accretion on redeemable non-controlling interests</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Preferred dividends and accretion on redeemable non-controlling interests increased $44.6 million due to the acquisition of Wheeling and related issuance of Series A Preferred Stock - RailCo during the year.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Dividends and accretion of redeemable preferred stock</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Dividends and accretion of redeemable preferred stock decreased $15.2 million due to payoff of Series A Preferred Stock in August 2025.</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$233.6 million primarily due to the changes noted above.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Railroad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8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1,821</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1,784</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1,652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 revenues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171,076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178,243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10,450</w:t>
            </w: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172,940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180,027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169,445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(7,087)</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10,582</w:t>
            </w:r>
          </w:p>
        </w:tc>
        <w:tc>
          <w:tcPr>
            <w:tcW w:w="0" w:type="dxa"/>
            <w:vAlign w:val="bottom"/>
          </w:tcPr>
          <w:p>
            <w:pPr>
              <w:spacing w:after="0"/>
              <w:rPr>
                <w:sz w:val="1"/>
                <w:szCs w:val="1"/>
                <w:color w:val="auto"/>
              </w:rPr>
            </w:pPr>
          </w:p>
        </w:tc>
      </w:tr>
      <w:tr>
        <w:trPr>
          <w:trHeight w:val="251"/>
        </w:trPr>
        <w:tc>
          <w:tcPr>
            <w:tcW w:w="5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91,587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97,207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92,972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4,235</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21,273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20,200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19,590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1,073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120,868</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117,933</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114,042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2,935</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3,891</w:t>
            </w:r>
          </w:p>
        </w:tc>
        <w:tc>
          <w:tcPr>
            <w:tcW w:w="0" w:type="dxa"/>
            <w:vAlign w:val="bottom"/>
          </w:tcPr>
          <w:p>
            <w:pPr>
              <w:spacing w:after="0"/>
              <w:rPr>
                <w:sz w:val="1"/>
                <w:szCs w:val="1"/>
                <w:color w:val="auto"/>
              </w:rPr>
            </w:pPr>
          </w:p>
        </w:tc>
      </w:tr>
      <w:tr>
        <w:trPr>
          <w:trHeight w:val="251"/>
        </w:trPr>
        <w:tc>
          <w:tcPr>
            <w:tcW w:w="5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entities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Loss on sale of assets, net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6,144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5,374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14,405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14,645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5,582</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66,477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12,273</w:t>
            </w:r>
          </w:p>
        </w:tc>
        <w:tc>
          <w:tcPr>
            <w:tcW w:w="0" w:type="dxa"/>
            <w:vAlign w:val="bottom"/>
          </w:tcPr>
          <w:p>
            <w:pPr>
              <w:spacing w:after="0"/>
              <w:rPr>
                <w:sz w:val="1"/>
                <w:szCs w:val="1"/>
                <w:color w:val="auto"/>
              </w:rPr>
            </w:pPr>
          </w:p>
        </w:tc>
      </w:tr>
      <w:tr>
        <w:trPr>
          <w:trHeight w:val="20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5,937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5,253</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60,540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57,162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50,142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3,378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7,020</w:t>
            </w:r>
          </w:p>
        </w:tc>
        <w:tc>
          <w:tcPr>
            <w:tcW w:w="0" w:type="dxa"/>
            <w:vAlign w:val="bottom"/>
          </w:tcPr>
          <w:p>
            <w:pPr>
              <w:spacing w:after="0"/>
              <w:rPr>
                <w:sz w:val="1"/>
                <w:szCs w:val="1"/>
                <w:color w:val="auto"/>
              </w:rPr>
            </w:pPr>
          </w:p>
        </w:tc>
      </w:tr>
      <w:tr>
        <w:trPr>
          <w:trHeight w:val="129"/>
        </w:trPr>
        <w:tc>
          <w:tcPr>
            <w:tcW w:w="5080" w:type="dxa"/>
            <w:vAlign w:val="bottom"/>
          </w:tcPr>
          <w:p>
            <w:pPr>
              <w:ind w:left="20"/>
              <w:spacing w:after="0" w:line="129" w:lineRule="exact"/>
              <w:rPr>
                <w:sz w:val="20"/>
                <w:szCs w:val="20"/>
                <w:color w:val="auto"/>
              </w:rPr>
            </w:pPr>
            <w:r>
              <w:rPr>
                <w:rFonts w:ascii="Arial" w:cs="Arial" w:eastAsia="Arial" w:hAnsi="Arial"/>
                <w:sz w:val="14"/>
                <w:szCs w:val="14"/>
                <w:color w:val="auto"/>
              </w:rPr>
              <w:t>Less: Net income attributable to non-controlling interest in consolidated</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9"/>
        </w:trPr>
        <w:tc>
          <w:tcPr>
            <w:tcW w:w="508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Less: Preferred dividends and accretion on redeemable non-controlling</w:t>
            </w: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44,607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44,607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08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attributable to stockholders, before series B preferred stock</w:t>
            </w:r>
          </w:p>
        </w:tc>
        <w:tc>
          <w:tcPr>
            <w:tcW w:w="2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15,817</w:t>
            </w:r>
          </w:p>
        </w:tc>
        <w:tc>
          <w:tcPr>
            <w:tcW w:w="10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56,917</w:t>
            </w:r>
          </w:p>
        </w:tc>
        <w:tc>
          <w:tcPr>
            <w:tcW w:w="100" w:type="dxa"/>
            <w:vAlign w:val="bottom"/>
          </w:tcPr>
          <w:p>
            <w:pPr>
              <w:spacing w:after="0"/>
              <w:rPr>
                <w:sz w:val="11"/>
                <w:szCs w:val="11"/>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49,999</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(41,100)</w:t>
            </w:r>
          </w:p>
        </w:tc>
        <w:tc>
          <w:tcPr>
            <w:tcW w:w="8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6,918</w:t>
            </w:r>
          </w:p>
        </w:tc>
        <w:tc>
          <w:tcPr>
            <w:tcW w:w="0" w:type="dxa"/>
            <w:vAlign w:val="bottom"/>
          </w:tcPr>
          <w:p>
            <w:pPr>
              <w:spacing w:after="0"/>
              <w:rPr>
                <w:sz w:val="1"/>
                <w:szCs w:val="1"/>
                <w:color w:val="auto"/>
              </w:rPr>
            </w:pPr>
          </w:p>
        </w:tc>
      </w:tr>
      <w:tr>
        <w:trPr>
          <w:trHeight w:val="167"/>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dividend and loss on extinguishment of preferred stock</w:t>
            </w: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1" w:name="page42"/>
    <w:bookmarkEnd w:id="41"/>
    <w:p>
      <w:pPr>
        <w:spacing w:after="0" w:line="286" w:lineRule="auto"/>
        <w:rPr>
          <w:sz w:val="20"/>
          <w:szCs w:val="20"/>
          <w:color w:val="auto"/>
        </w:rPr>
      </w:pPr>
      <w:r>
        <w:rPr>
          <w:rFonts w:ascii="Arial" w:cs="Arial" w:eastAsia="Arial" w:hAnsi="Arial"/>
          <w:sz w:val="16"/>
          <w:szCs w:val="16"/>
          <w:color w:val="auto"/>
        </w:rPr>
        <w:t>The following table sets forth a reconciliation of net income attributable to stockholders, before series B preferred stock dividend and loss on extinguishment of preferred stock to Adjusted EBITDA: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29"/>
        </w:trPr>
        <w:tc>
          <w:tcPr>
            <w:tcW w:w="508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income attributable to stockholders, before series B preferred stock</w:t>
            </w:r>
          </w:p>
        </w:tc>
        <w:tc>
          <w:tcPr>
            <w:tcW w:w="2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15,817</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56,917</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49,999</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(41,100)</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6,918</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dividend and loss on extinguishment of preferred stock</w:t>
            </w: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5,937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1,245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5,253</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3,607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Losses on the modification or extinguishment of debt and capital lease</w:t>
            </w:r>
          </w:p>
        </w:tc>
        <w:tc>
          <w:tcPr>
            <w:tcW w:w="2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(4,234)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&amp; amortization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577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26,713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44,607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44,607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Add: Other non-recurring items </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21"/>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110,975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84,254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78,521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26,721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64" w:lineRule="exact"/>
        <w:rPr>
          <w:sz w:val="20"/>
          <w:szCs w:val="20"/>
          <w:color w:val="auto"/>
        </w:rPr>
      </w:pPr>
    </w:p>
    <w:p>
      <w:pPr>
        <w:ind w:left="180" w:right="20" w:hanging="172"/>
        <w:spacing w:after="0" w:line="238" w:lineRule="auto"/>
        <w:tabs>
          <w:tab w:leader="none" w:pos="158"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 ended December 31, 2025: (i) net loss of $14,966, (ii) depreciation and amortization expense of $6,145, (iii) interest expense of $926 and (iv) provision for income taxes of $4,676.</w:t>
      </w:r>
    </w:p>
    <w:p>
      <w:pPr>
        <w:spacing w:after="0" w:line="26" w:lineRule="exact"/>
        <w:rPr>
          <w:rFonts w:ascii="Arial" w:cs="Arial" w:eastAsia="Arial" w:hAnsi="Arial"/>
          <w:sz w:val="18"/>
          <w:szCs w:val="18"/>
          <w:color w:val="auto"/>
          <w:vertAlign w:val="superscript"/>
        </w:rPr>
      </w:pPr>
    </w:p>
    <w:p>
      <w:pPr>
        <w:ind w:left="180" w:hanging="172"/>
        <w:spacing w:after="0" w:line="300" w:lineRule="auto"/>
        <w:tabs>
          <w:tab w:leader="none" w:pos="158"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the following items for the year ended December 31, 2025: Railroad severance expense of $305. Includes the following items for the year ended December 31, 2023: Railroad severance expense of $1,339.</w:t>
      </w:r>
    </w:p>
    <w:p>
      <w:pPr>
        <w:spacing w:after="0" w:line="2" w:lineRule="exact"/>
        <w:rPr>
          <w:rFonts w:ascii="Arial" w:cs="Arial" w:eastAsia="Arial" w:hAnsi="Arial"/>
          <w:sz w:val="9"/>
          <w:szCs w:val="9"/>
          <w:color w:val="auto"/>
        </w:rPr>
      </w:pPr>
    </w:p>
    <w:p>
      <w:pPr>
        <w:jc w:val="both"/>
        <w:ind w:left="180" w:hanging="172"/>
        <w:spacing w:after="0" w:line="249" w:lineRule="auto"/>
        <w:tabs>
          <w:tab w:leader="none" w:pos="158"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2025, 2024 and 2023: (i) equity-based compensation expense of $13, $9 and $4, (ii) provision for (benefit from) income taxes of $33, $22 and $(1), (iii) acquisition and transaction expenses of $20, $2 and $1, (iv) interest and other costs on pension and OPEB liabilities of $(5), $(1) and $6, (v) depreciation and amortization expense of $116, $88 and $49, (vi) interest expense of $5, $2 and $6, (vii) changes in fair value of non-hedge derivative instruments of $(23), $— and $—, (viii) asset impairment charges of $24, $— and $2, (ix) equity in earnings of unconsolidated entities of $96, $— and $—, (x) dividends and accretion of redeemable preferred stock of $243, $— and $— and (xi) other non-recurring items of $2, $— and $4,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2025 and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decreased $7.1 million which is primarily due to decreased carloads.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$2.9 million which primarily reflects:</w:t>
      </w:r>
    </w:p>
    <w:p>
      <w:pPr>
        <w:spacing w:after="0" w:line="113" w:lineRule="exact"/>
        <w:rPr>
          <w:sz w:val="20"/>
          <w:szCs w:val="20"/>
          <w:color w:val="auto"/>
        </w:rPr>
      </w:pPr>
    </w:p>
    <w:p>
      <w:pPr>
        <w:ind w:left="660" w:hanging="328"/>
        <w:spacing w:after="0" w:line="28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acquisition and transaction costs of $3.1 million primarily related to the acquisition of Wheeling in December 2025 and costs for the warrants issued in August 2025;</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depreciation and amortization expense of $1.1 million related to depreciation on Wheeling assets due to the acquisition in December 2025; and</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increase in asset impairment of $4.4 million related to a railcar adjustment; partially offset by</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decrease in operating expenses of $5.6 million due to decreased carloads.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Total other income increased $14.6 million which primarily reflects an increase in equity earnings of unconsolidated entities of $9.2 million due to the equity pickup of Wheeling from August through December 2025 when Wheeling was consolidated, as well as an increase in other income of $5.4 million mainly related to (i) a fair value adjustment of Warrants and (ii) favorable adjustments related to pension and OPEB benefits.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00497F"/>
        </w:rPr>
        <w:t>Preferred dividends and accretion on redeemable non-controlling interests</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Preferred dividends and accretion on redeemable non-controlling interests increased $44.6 million due to the acquisition of Wheeling and related issuance of Series A Preferred Stock - RailCo during the year.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$26.7 million due to the changes noted above.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84"/>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20" w:type="dxa"/>
            <w:vAlign w:val="bottom"/>
          </w:tcPr>
          <w:p>
            <w:pPr>
              <w:spacing w:after="0"/>
              <w:rPr>
                <w:sz w:val="20"/>
                <w:szCs w:val="20"/>
                <w:color w:val="auto"/>
              </w:rPr>
            </w:pPr>
            <w:r>
              <w:rPr>
                <w:rFonts w:ascii="Arial" w:cs="Arial" w:eastAsia="Arial" w:hAnsi="Arial"/>
                <w:sz w:val="14"/>
                <w:szCs w:val="14"/>
                <w:color w:val="auto"/>
              </w:rPr>
              <w:t>Lease income</w:t>
            </w: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3,268</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3,179</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1,437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1,742</w:t>
            </w:r>
          </w:p>
        </w:tc>
        <w:tc>
          <w:tcPr>
            <w:tcW w:w="0" w:type="dxa"/>
            <w:vAlign w:val="bottom"/>
          </w:tcPr>
          <w:p>
            <w:pPr>
              <w:spacing w:after="0"/>
              <w:rPr>
                <w:sz w:val="1"/>
                <w:szCs w:val="1"/>
                <w:color w:val="auto"/>
              </w:rPr>
            </w:pPr>
          </w:p>
        </w:tc>
      </w:tr>
      <w:tr>
        <w:trPr>
          <w:trHeight w:val="204"/>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Terminal services revenues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82,390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77,467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70,709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4,923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6,758</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Total revenues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85,658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80,646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72,146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8,500</w:t>
            </w:r>
          </w:p>
        </w:tc>
        <w:tc>
          <w:tcPr>
            <w:tcW w:w="0" w:type="dxa"/>
            <w:vAlign w:val="bottom"/>
          </w:tcPr>
          <w:p>
            <w:pPr>
              <w:spacing w:after="0"/>
              <w:rPr>
                <w:sz w:val="1"/>
                <w:szCs w:val="1"/>
                <w:color w:val="auto"/>
              </w:rPr>
            </w:pPr>
          </w:p>
        </w:tc>
      </w:tr>
      <w:tr>
        <w:trPr>
          <w:trHeight w:val="251"/>
        </w:trPr>
        <w:tc>
          <w:tcPr>
            <w:tcW w:w="5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68,618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66,576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w:t>
            </w:r>
          </w:p>
        </w:tc>
        <w:tc>
          <w:tcPr>
            <w:tcW w:w="0" w:type="dxa"/>
            <w:vAlign w:val="bottom"/>
          </w:tcPr>
          <w:p>
            <w:pPr>
              <w:spacing w:after="0"/>
              <w:rPr>
                <w:sz w:val="1"/>
                <w:szCs w:val="1"/>
                <w:color w:val="auto"/>
              </w:rPr>
            </w:pPr>
          </w:p>
        </w:tc>
      </w:tr>
      <w:tr>
        <w:trPr>
          <w:trHeight w:val="202"/>
        </w:trPr>
        <w:tc>
          <w:tcPr>
            <w:tcW w:w="5020" w:type="dxa"/>
            <w:vAlign w:val="bottom"/>
          </w:tcPr>
          <w:p>
            <w:pPr>
              <w:spacing w:after="0"/>
              <w:rPr>
                <w:sz w:val="20"/>
                <w:szCs w:val="20"/>
                <w:color w:val="auto"/>
              </w:rPr>
            </w:pPr>
            <w:r>
              <w:rPr>
                <w:rFonts w:ascii="Arial" w:cs="Arial" w:eastAsia="Arial" w:hAnsi="Arial"/>
                <w:sz w:val="14"/>
                <w:szCs w:val="14"/>
                <w:color w:val="auto"/>
              </w:rPr>
              <w:t>Acquisition and transaction expenses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46,197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47,872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48,916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Total expenses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114,883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119,098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116,862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251"/>
        </w:trPr>
        <w:tc>
          <w:tcPr>
            <w:tcW w:w="5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02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Gain on sale of assets, net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7,292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(4,218)</w:t>
            </w:r>
          </w:p>
        </w:tc>
        <w:tc>
          <w:tcPr>
            <w:tcW w:w="0" w:type="dxa"/>
            <w:vAlign w:val="bottom"/>
          </w:tcPr>
          <w:p>
            <w:pPr>
              <w:spacing w:after="0"/>
              <w:rPr>
                <w:sz w:val="1"/>
                <w:szCs w:val="1"/>
                <w:color w:val="auto"/>
              </w:rPr>
            </w:pPr>
          </w:p>
        </w:tc>
      </w:tr>
      <w:tr>
        <w:trPr>
          <w:trHeight w:val="202"/>
        </w:trPr>
        <w:tc>
          <w:tcPr>
            <w:tcW w:w="5020" w:type="dxa"/>
            <w:vAlign w:val="bottom"/>
          </w:tcPr>
          <w:p>
            <w:pPr>
              <w:spacing w:after="0"/>
              <w:rPr>
                <w:sz w:val="20"/>
                <w:szCs w:val="20"/>
                <w:color w:val="auto"/>
              </w:rPr>
            </w:pPr>
            <w:r>
              <w:rPr>
                <w:rFonts w:ascii="Arial" w:cs="Arial" w:eastAsia="Arial" w:hAnsi="Arial"/>
                <w:sz w:val="14"/>
                <w:szCs w:val="14"/>
                <w:color w:val="auto"/>
              </w:rPr>
              <w:t>Loss on modification or extinguishment of debt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8,177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(8,925)</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(65,130)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(16,558)</w:t>
            </w:r>
          </w:p>
        </w:tc>
        <w:tc>
          <w:tcPr>
            <w:tcW w:w="0" w:type="dxa"/>
            <w:vAlign w:val="bottom"/>
          </w:tcPr>
          <w:p>
            <w:pPr>
              <w:spacing w:after="0"/>
              <w:rPr>
                <w:sz w:val="1"/>
                <w:szCs w:val="1"/>
                <w:color w:val="auto"/>
              </w:rPr>
            </w:pPr>
          </w:p>
        </w:tc>
      </w:tr>
      <w:tr>
        <w:trPr>
          <w:trHeight w:val="202"/>
        </w:trPr>
        <w:tc>
          <w:tcPr>
            <w:tcW w:w="5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income (expense)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6,817</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other expense</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(61,952)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(49,337)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(26,453)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(12,615)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(22,884)</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20"/>
                <w:szCs w:val="20"/>
                <w:color w:val="auto"/>
              </w:rPr>
            </w:pPr>
            <w:r>
              <w:rPr>
                <w:rFonts w:ascii="Arial" w:cs="Arial" w:eastAsia="Arial" w:hAnsi="Arial"/>
                <w:sz w:val="14"/>
                <w:szCs w:val="14"/>
                <w:b w:val="1"/>
                <w:bCs w:val="1"/>
                <w:color w:val="auto"/>
              </w:rPr>
              <w:t>Loss before income taxes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(91,177)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(87,789)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(71,169)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(16,620)</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(Benefit from) 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(4,135)</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loss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(89,304)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(73,637)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(12,485)</w:t>
            </w:r>
          </w:p>
        </w:tc>
        <w:tc>
          <w:tcPr>
            <w:tcW w:w="0" w:type="dxa"/>
            <w:vAlign w:val="bottom"/>
          </w:tcPr>
          <w:p>
            <w:pPr>
              <w:spacing w:after="0"/>
              <w:rPr>
                <w:sz w:val="1"/>
                <w:szCs w:val="1"/>
                <w:color w:val="auto"/>
              </w:rPr>
            </w:pPr>
          </w:p>
        </w:tc>
      </w:tr>
      <w:tr>
        <w:trPr>
          <w:trHeight w:val="130"/>
        </w:trPr>
        <w:tc>
          <w:tcPr>
            <w:tcW w:w="5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(43,261)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(41,491)</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(36,917)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(4,574)</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subsidiaries</w:t>
            </w: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line="129" w:lineRule="exact"/>
              <w:rPr>
                <w:sz w:val="20"/>
                <w:szCs w:val="20"/>
                <w:color w:val="auto"/>
              </w:rPr>
            </w:pPr>
            <w:r>
              <w:rPr>
                <w:rFonts w:ascii="Arial" w:cs="Arial" w:eastAsia="Arial" w:hAnsi="Arial"/>
                <w:sz w:val="14"/>
                <w:szCs w:val="14"/>
                <w:b w:val="1"/>
                <w:bCs w:val="1"/>
                <w:color w:val="auto"/>
              </w:rPr>
              <w:t>Net loss attributable to stockholders, before series B preferred stock</w:t>
            </w: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(46,043)</w:t>
            </w:r>
          </w:p>
        </w:tc>
        <w:tc>
          <w:tcPr>
            <w:tcW w:w="10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(44,631)</w:t>
            </w:r>
          </w:p>
        </w:tc>
        <w:tc>
          <w:tcPr>
            <w:tcW w:w="100" w:type="dxa"/>
            <w:vAlign w:val="bottom"/>
          </w:tcPr>
          <w:p>
            <w:pPr>
              <w:spacing w:after="0"/>
              <w:rPr>
                <w:sz w:val="11"/>
                <w:szCs w:val="11"/>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(36,720)</w:t>
            </w:r>
          </w:p>
        </w:tc>
        <w:tc>
          <w:tcPr>
            <w:tcW w:w="8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(1,412)</w:t>
            </w:r>
          </w:p>
        </w:tc>
        <w:tc>
          <w:tcPr>
            <w:tcW w:w="10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(7,911)</w:t>
            </w:r>
          </w:p>
        </w:tc>
        <w:tc>
          <w:tcPr>
            <w:tcW w:w="0" w:type="dxa"/>
            <w:vAlign w:val="bottom"/>
          </w:tcPr>
          <w:p>
            <w:pPr>
              <w:spacing w:after="0"/>
              <w:rPr>
                <w:sz w:val="1"/>
                <w:szCs w:val="1"/>
                <w:color w:val="auto"/>
              </w:rPr>
            </w:pPr>
          </w:p>
        </w:tc>
      </w:tr>
      <w:tr>
        <w:trPr>
          <w:trHeight w:val="167"/>
        </w:trPr>
        <w:tc>
          <w:tcPr>
            <w:tcW w:w="5020" w:type="dxa"/>
            <w:vAlign w:val="bottom"/>
          </w:tcPr>
          <w:p>
            <w:pPr>
              <w:spacing w:after="0"/>
              <w:rPr>
                <w:sz w:val="20"/>
                <w:szCs w:val="20"/>
                <w:color w:val="auto"/>
              </w:rPr>
            </w:pPr>
            <w:r>
              <w:rPr>
                <w:rFonts w:ascii="Arial" w:cs="Arial" w:eastAsia="Arial" w:hAnsi="Arial"/>
                <w:sz w:val="14"/>
                <w:szCs w:val="14"/>
                <w:b w:val="1"/>
                <w:bCs w:val="1"/>
                <w:color w:val="auto"/>
              </w:rPr>
              <w:t>dividend and loss on extinguishment of preferred stock</w:t>
            </w: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3" w:name="page44"/>
    <w:bookmarkEnd w:id="43"/>
    <w:p>
      <w:pPr>
        <w:spacing w:after="0" w:line="286" w:lineRule="auto"/>
        <w:rPr>
          <w:sz w:val="20"/>
          <w:szCs w:val="20"/>
          <w:color w:val="auto"/>
        </w:rPr>
      </w:pPr>
      <w:r>
        <w:rPr>
          <w:rFonts w:ascii="Arial" w:cs="Arial" w:eastAsia="Arial" w:hAnsi="Arial"/>
          <w:sz w:val="16"/>
          <w:szCs w:val="16"/>
          <w:color w:val="auto"/>
        </w:rPr>
        <w:t>The following table sets forth a reconciliation of net loss attributable to stockholders, before series B preferred stock dividend and loss on extinguishment of preferred stock to Adjusted EBITDA: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29"/>
        </w:trPr>
        <w:tc>
          <w:tcPr>
            <w:tcW w:w="504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attributable to stockholders, before series B preferred stock</w:t>
            </w: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(46,043)</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(44,631)</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(36,720)</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(7,911)</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dividend and loss on extinguishment of preferred stock</w:t>
            </w:r>
          </w:p>
        </w:tc>
        <w:tc>
          <w:tcPr>
            <w:tcW w:w="28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(1,873)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(4,135)</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68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Losses on the modification or extinguishment of debt and capital lease</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748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8,925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(8,177)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8,925</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51,128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2,882</w:t>
            </w: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65,130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49,001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32,443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16,129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16,558</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Add: Other non-recurring items </w:t>
            </w:r>
            <w:r>
              <w:rPr>
                <w:rFonts w:ascii="Arial" w:cs="Arial" w:eastAsia="Arial" w:hAnsi="Arial"/>
                <w:sz w:val="18"/>
                <w:szCs w:val="18"/>
                <w:color w:val="auto"/>
                <w:vertAlign w:val="superscript"/>
              </w:rPr>
              <w:t>(2)</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(27,028)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(26,264)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(5,936)</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43,625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41,967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64" w:lineRule="exact"/>
        <w:rPr>
          <w:sz w:val="20"/>
          <w:szCs w:val="20"/>
          <w:color w:val="auto"/>
        </w:rPr>
      </w:pPr>
    </w:p>
    <w:p>
      <w:pPr>
        <w:ind w:left="180" w:hanging="172"/>
        <w:spacing w:after="0" w:line="231" w:lineRule="auto"/>
        <w:tabs>
          <w:tab w:leader="none" w:pos="184"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2025, 2024, and 2023: (i) depreciation and amortization expense of $46,197, $47,872 and $48,916 and (ii) capitalized contract costs amortization of $4,931, $4,475 and $549, respectively.</w:t>
      </w:r>
    </w:p>
    <w:p>
      <w:pPr>
        <w:spacing w:after="0" w:line="26"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the following items for the year ended December 31, 2023: certain non-cash expenses related to the cancellation of restricted shares of 1,131.</w:t>
      </w:r>
    </w:p>
    <w:p>
      <w:pPr>
        <w:spacing w:after="0" w:line="68" w:lineRule="exact"/>
        <w:rPr>
          <w:rFonts w:ascii="Arial" w:cs="Arial" w:eastAsia="Arial" w:hAnsi="Arial"/>
          <w:sz w:val="9"/>
          <w:szCs w:val="9"/>
          <w:color w:val="auto"/>
        </w:rPr>
      </w:pPr>
    </w:p>
    <w:p>
      <w:pPr>
        <w:jc w:val="both"/>
        <w:ind w:left="180" w:hanging="172"/>
        <w:spacing w:after="0" w:line="230" w:lineRule="auto"/>
        <w:tabs>
          <w:tab w:leader="none" w:pos="181"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2025, 2024, and 2023: (i) equity-based compensation expense of $346, $989 and $1,309, (ii) (benefit from) provision for income taxes of $(434), $(506) and $551, (iii) interest expense of $15,085, $11,454 and $7,242, (iv) acquisition and transaction expenses of $16, $5 and $306,</w:t>
      </w:r>
    </w:p>
    <w:p>
      <w:pPr>
        <w:spacing w:after="0" w:line="1" w:lineRule="exact"/>
        <w:rPr>
          <w:rFonts w:ascii="Arial" w:cs="Arial" w:eastAsia="Arial" w:hAnsi="Arial"/>
          <w:sz w:val="19"/>
          <w:szCs w:val="19"/>
          <w:color w:val="auto"/>
          <w:vertAlign w:val="superscript"/>
        </w:rPr>
      </w:pPr>
    </w:p>
    <w:p>
      <w:pPr>
        <w:ind w:left="180"/>
        <w:spacing w:after="0"/>
        <w:rPr>
          <w:rFonts w:ascii="Arial" w:cs="Arial" w:eastAsia="Arial" w:hAnsi="Arial"/>
          <w:sz w:val="19"/>
          <w:szCs w:val="19"/>
          <w:color w:val="auto"/>
          <w:vertAlign w:val="superscript"/>
        </w:rPr>
      </w:pPr>
      <w:r>
        <w:rPr>
          <w:rFonts w:ascii="Arial" w:cs="Arial" w:eastAsia="Arial" w:hAnsi="Arial"/>
          <w:sz w:val="14"/>
          <w:szCs w:val="14"/>
          <w:color w:val="auto"/>
        </w:rPr>
        <w:t>(v) depreciation and amortization expense of $11,842, $12,236 and $10,920 and (vi) losses on modification or extinguishment of debt of $173, $2,086 and $—,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2025 and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Total revenues increased $5.0 million primarily due to an increase in terminal services revenues of $4.9 million due to an increase in average refined oil throughput volumes.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decreased $4.2 million which primarily reflects:</w:t>
      </w:r>
    </w:p>
    <w:p>
      <w:pPr>
        <w:spacing w:after="0" w:line="113"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b w:val="1"/>
          <w:bCs w:val="1"/>
          <w:i w:val="1"/>
          <w:iCs w:val="1"/>
          <w:color w:val="00497F"/>
        </w:rPr>
      </w:pPr>
      <w:r>
        <w:rPr>
          <w:rFonts w:ascii="Arial" w:cs="Arial" w:eastAsia="Arial" w:hAnsi="Arial"/>
          <w:sz w:val="16"/>
          <w:szCs w:val="16"/>
          <w:color w:val="auto"/>
        </w:rPr>
        <w:t>a decrease in operating expenses of $2.6 million primarily due to lower costs associated with insurance and equity-based compensation; and</w:t>
      </w:r>
    </w:p>
    <w:p>
      <w:pPr>
        <w:spacing w:after="0" w:line="113" w:lineRule="exact"/>
        <w:rPr>
          <w:rFonts w:ascii="Arial" w:cs="Arial" w:eastAsia="Arial" w:hAnsi="Arial"/>
          <w:sz w:val="16"/>
          <w:szCs w:val="16"/>
          <w:b w:val="1"/>
          <w:bCs w:val="1"/>
          <w:i w:val="1"/>
          <w:iCs w:val="1"/>
          <w:color w:val="00497F"/>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decrease in depreciation and amortization of $1.7 million due to certain assets becoming fully depreciated.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Total other expense increased $12.6 million which primarily reflects (i) an increase in interest expense of $16.1 million related to additional borrowings during the current year, (ii) a $3.1 million gain on sale of assets in the prior year and (iii) a $1.6 million gain from the grant of a pipeline easement in the prior year, offset by an $8.2 million loss on modification or extinguishment of debt in the prior year.</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$1.7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00497F"/>
        </w:rPr>
        <w:t>Repauno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8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10,710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15,792</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12,641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(5,082)</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10,991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5,133</w:t>
            </w:r>
          </w:p>
        </w:tc>
        <w:tc>
          <w:tcPr>
            <w:tcW w:w="0" w:type="dxa"/>
            <w:vAlign w:val="bottom"/>
          </w:tcPr>
          <w:p>
            <w:pPr>
              <w:spacing w:after="0"/>
              <w:rPr>
                <w:sz w:val="1"/>
                <w:szCs w:val="1"/>
                <w:color w:val="auto"/>
              </w:rPr>
            </w:pPr>
          </w:p>
        </w:tc>
      </w:tr>
      <w:tr>
        <w:trPr>
          <w:trHeight w:val="251"/>
        </w:trPr>
        <w:tc>
          <w:tcPr>
            <w:tcW w:w="5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22,733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4,253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4,253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9,973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36,959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33,397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31,539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3,562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1,858</w:t>
            </w:r>
          </w:p>
        </w:tc>
        <w:tc>
          <w:tcPr>
            <w:tcW w:w="0" w:type="dxa"/>
            <w:vAlign w:val="bottom"/>
          </w:tcPr>
          <w:p>
            <w:pPr>
              <w:spacing w:after="0"/>
              <w:rPr>
                <w:sz w:val="1"/>
                <w:szCs w:val="1"/>
                <w:color w:val="auto"/>
              </w:rPr>
            </w:pPr>
          </w:p>
        </w:tc>
      </w:tr>
      <w:tr>
        <w:trPr>
          <w:trHeight w:val="251"/>
        </w:trPr>
        <w:tc>
          <w:tcPr>
            <w:tcW w:w="5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modification or extinguishment of debt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(6,943)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(5,792)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(1,617)</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(2,557)</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(4,175)</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(31,760)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4,215</w:t>
            </w:r>
          </w:p>
        </w:tc>
        <w:tc>
          <w:tcPr>
            <w:tcW w:w="0" w:type="dxa"/>
            <w:vAlign w:val="bottom"/>
          </w:tcPr>
          <w:p>
            <w:pPr>
              <w:spacing w:after="0"/>
              <w:rPr>
                <w:sz w:val="1"/>
                <w:szCs w:val="1"/>
                <w:color w:val="auto"/>
              </w:rPr>
            </w:pPr>
          </w:p>
        </w:tc>
      </w:tr>
      <w:tr>
        <w:trPr>
          <w:trHeight w:val="201"/>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(32,474)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(18,759)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5,142</w:t>
            </w:r>
          </w:p>
        </w:tc>
        <w:tc>
          <w:tcPr>
            <w:tcW w:w="0" w:type="dxa"/>
            <w:vAlign w:val="bottom"/>
          </w:tcPr>
          <w:p>
            <w:pPr>
              <w:spacing w:after="0"/>
              <w:rPr>
                <w:sz w:val="1"/>
                <w:szCs w:val="1"/>
                <w:color w:val="auto"/>
              </w:rPr>
            </w:pPr>
          </w:p>
        </w:tc>
      </w:tr>
      <w:tr>
        <w:trPr>
          <w:trHeight w:val="128"/>
        </w:trPr>
        <w:tc>
          <w:tcPr>
            <w:tcW w:w="5080" w:type="dxa"/>
            <w:vAlign w:val="bottom"/>
          </w:tcPr>
          <w:p>
            <w:pPr>
              <w:ind w:left="20"/>
              <w:spacing w:after="0" w:line="129"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(1,709)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(1,173)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(1,412)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(536)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0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loss attributable to stockholders, before series B preferred stock</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(30,765)</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(17,586)</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(22,489)</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(13,179)</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4,903</w:t>
            </w:r>
          </w:p>
        </w:tc>
        <w:tc>
          <w:tcPr>
            <w:tcW w:w="0" w:type="dxa"/>
            <w:vAlign w:val="bottom"/>
          </w:tcPr>
          <w:p>
            <w:pPr>
              <w:spacing w:after="0"/>
              <w:rPr>
                <w:sz w:val="1"/>
                <w:szCs w:val="1"/>
                <w:color w:val="auto"/>
              </w:rPr>
            </w:pPr>
          </w:p>
        </w:tc>
      </w:tr>
      <w:tr>
        <w:trPr>
          <w:trHeight w:val="182"/>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dividend and loss on extinguishment of preferred stock</w:t>
            </w: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5" w:name="page46"/>
    <w:bookmarkEnd w:id="45"/>
    <w:p>
      <w:pPr>
        <w:spacing w:after="0" w:line="286" w:lineRule="auto"/>
        <w:rPr>
          <w:sz w:val="20"/>
          <w:szCs w:val="20"/>
          <w:color w:val="auto"/>
        </w:rPr>
      </w:pPr>
      <w:r>
        <w:rPr>
          <w:rFonts w:ascii="Arial" w:cs="Arial" w:eastAsia="Arial" w:hAnsi="Arial"/>
          <w:sz w:val="16"/>
          <w:szCs w:val="16"/>
          <w:color w:val="auto"/>
        </w:rPr>
        <w:t>The following table sets forth a reconciliation of net loss attributable to stockholders, before series B preferred stock dividend and loss on extinguishment of preferred stock to Adjusted EBITDA: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29"/>
        </w:trPr>
        <w:tc>
          <w:tcPr>
            <w:tcW w:w="508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attributable to stockholders, before series B preferred stock</w:t>
            </w:r>
          </w:p>
        </w:tc>
        <w:tc>
          <w:tcPr>
            <w:tcW w:w="2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(30,765)</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(17,586)</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(22,489)</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(13,179)</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4,903</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dividend and loss on extinguishment of preferred stock</w:t>
            </w: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1,145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4,253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4,253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Losses on the modification or extinguishment of debt and capital lease</w:t>
            </w:r>
          </w:p>
        </w:tc>
        <w:tc>
          <w:tcPr>
            <w:tcW w:w="2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3,324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3,324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6,943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5,326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Add: Other non-recurring items </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1,035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21"/>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(4,775)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47"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 ended December 31, 2025: (i) incidental utility rebillings of $650 and (ii) loss on inventory heel of $385.</w:t>
      </w:r>
    </w:p>
    <w:p>
      <w:pPr>
        <w:spacing w:after="0" w:line="53" w:lineRule="exact"/>
        <w:rPr>
          <w:rFonts w:ascii="Arial" w:cs="Arial" w:eastAsia="Arial" w:hAnsi="Arial"/>
          <w:sz w:val="18"/>
          <w:szCs w:val="18"/>
          <w:color w:val="auto"/>
          <w:vertAlign w:val="superscript"/>
        </w:rPr>
      </w:pPr>
    </w:p>
    <w:p>
      <w:pPr>
        <w:jc w:val="both"/>
        <w:ind w:left="180" w:hanging="172"/>
        <w:spacing w:after="0" w:line="235" w:lineRule="auto"/>
        <w:tabs>
          <w:tab w:leader="none" w:pos="177"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2025, 2024 and 2023: (i) equity-based compensation expense of $67, $129 and $99, (ii) provision for (benefit from) income taxes of $39, $(26) and $28, (iii) interest expense of $373, $99 and $143, (iv) depreciation and amortization expense of $538, $606 and $523, (v) changes in fair value of non-hedge derivative instruments of $—, $— and $63, (vi) acquisition and transaction expenses of $226, $— and $—, (vii) losses on modification or extinguishment of debt of $190, $— and $— and (viii) other non-recurring items of $59, $— and $—,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2025 and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decreased $4.8 million due to lower volumes stemming from the terminal’s new butane throughput contract that commenced in April 2025.</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Total expenses increased $3.6 million primarily due to an increase in acquisition and transaction expenses related to consulting fees, partially offset by a decrease in operating expenses associated with lower repairs and maintenance and labor costs.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Total other expense increased $4.2 million primarily due to (i) an increase in interest expense of $5.3 million related to additional borrowings and (ii) an increase in loss on modification or extinguishment of debt of $3.3 million due to the payoff of the DRP Revolver and March 2025 Credit Agreement, offset by an increase in other income of $4.5 million from the interest on funds from the Series 2025 Bonds.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$0.4 million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00497F"/>
        </w:rPr>
        <w:t>Power and Gas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8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1,954</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1,954</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Power revenues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156,183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156,183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Gas revenues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21,194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21,194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179,331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179,331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50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62,432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60,242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w:t>
            </w: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54,236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54,236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123,262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118,779</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251"/>
        </w:trPr>
        <w:tc>
          <w:tcPr>
            <w:tcW w:w="5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10,588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(37,146)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47,734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(27,197)</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119,952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119,952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Loss on modification or extinguishment of debt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(88,490)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(88,490)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4,232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4,907</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46,205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(24,716)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70,921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(22,287)</w:t>
            </w:r>
          </w:p>
        </w:tc>
        <w:tc>
          <w:tcPr>
            <w:tcW w:w="0" w:type="dxa"/>
            <w:vAlign w:val="bottom"/>
          </w:tcPr>
          <w:p>
            <w:pPr>
              <w:spacing w:after="0"/>
              <w:rPr>
                <w:sz w:val="1"/>
                <w:szCs w:val="1"/>
                <w:color w:val="auto"/>
              </w:rPr>
            </w:pPr>
          </w:p>
        </w:tc>
      </w:tr>
      <w:tr>
        <w:trPr>
          <w:trHeight w:val="195"/>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102,274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(29,199)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131,473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(23,950)</w:t>
            </w: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income taxes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109,798</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(29,199)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(5,249)</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138,997</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(23,950)</w:t>
            </w:r>
          </w:p>
        </w:tc>
        <w:tc>
          <w:tcPr>
            <w:tcW w:w="0" w:type="dxa"/>
            <w:vAlign w:val="bottom"/>
          </w:tcPr>
          <w:p>
            <w:pPr>
              <w:spacing w:after="0"/>
              <w:rPr>
                <w:sz w:val="1"/>
                <w:szCs w:val="1"/>
                <w:color w:val="auto"/>
              </w:rPr>
            </w:pPr>
          </w:p>
        </w:tc>
      </w:tr>
      <w:tr>
        <w:trPr>
          <w:trHeight w:val="129"/>
        </w:trPr>
        <w:tc>
          <w:tcPr>
            <w:tcW w:w="50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08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attributable to stockholders, before series B preferred</w:t>
            </w:r>
          </w:p>
        </w:tc>
        <w:tc>
          <w:tcPr>
            <w:tcW w:w="2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109,824</w:t>
            </w:r>
          </w:p>
        </w:tc>
        <w:tc>
          <w:tcPr>
            <w:tcW w:w="10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(29,199)</w:t>
            </w:r>
          </w:p>
        </w:tc>
        <w:tc>
          <w:tcPr>
            <w:tcW w:w="100" w:type="dxa"/>
            <w:vAlign w:val="bottom"/>
          </w:tcPr>
          <w:p>
            <w:pPr>
              <w:spacing w:after="0"/>
              <w:rPr>
                <w:sz w:val="11"/>
                <w:szCs w:val="11"/>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(5,249)</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139,023</w:t>
            </w:r>
          </w:p>
        </w:tc>
        <w:tc>
          <w:tcPr>
            <w:tcW w:w="8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(23,950)</w:t>
            </w:r>
          </w:p>
        </w:tc>
        <w:tc>
          <w:tcPr>
            <w:tcW w:w="0" w:type="dxa"/>
            <w:vAlign w:val="bottom"/>
          </w:tcPr>
          <w:p>
            <w:pPr>
              <w:spacing w:after="0"/>
              <w:rPr>
                <w:sz w:val="1"/>
                <w:szCs w:val="1"/>
                <w:color w:val="auto"/>
              </w:rPr>
            </w:pPr>
          </w:p>
        </w:tc>
      </w:tr>
      <w:tr>
        <w:trPr>
          <w:trHeight w:val="167"/>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stock dividend and loss on extinguishment of preferred stock</w:t>
            </w: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7" w:name="page48"/>
    <w:bookmarkEnd w:id="47"/>
    <w:p>
      <w:pPr>
        <w:spacing w:after="0" w:line="286" w:lineRule="auto"/>
        <w:rPr>
          <w:sz w:val="20"/>
          <w:szCs w:val="20"/>
          <w:color w:val="auto"/>
        </w:rPr>
      </w:pPr>
      <w:r>
        <w:rPr>
          <w:rFonts w:ascii="Arial" w:cs="Arial" w:eastAsia="Arial" w:hAnsi="Arial"/>
          <w:sz w:val="16"/>
          <w:szCs w:val="16"/>
          <w:color w:val="auto"/>
        </w:rPr>
        <w:t>The following table sets forth a reconciliation of net income (loss) attributable to stockholders, before series B preferred stock dividend and loss on extinguishment of preferred stock to Adjusted EBITDA: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29"/>
        </w:trPr>
        <w:tc>
          <w:tcPr>
            <w:tcW w:w="508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income (loss) attributable to stockholders, before series B preferred</w:t>
            </w:r>
          </w:p>
        </w:tc>
        <w:tc>
          <w:tcPr>
            <w:tcW w:w="2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109,824</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(29,199)</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139,023</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(23,950)</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 dividend and loss on extinguishment of preferred stock</w:t>
            </w: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(7,524)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(7,524)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5,636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6,594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4,301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2,199</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Losses on the modification or extinguishment of debt and capital lease</w:t>
            </w:r>
          </w:p>
        </w:tc>
        <w:tc>
          <w:tcPr>
            <w:tcW w:w="2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34,144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88,490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88,490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Add: Other non-recurring items</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(47,734)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27,197</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232,990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192,744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64" w:lineRule="exact"/>
        <w:rPr>
          <w:sz w:val="20"/>
          <w:szCs w:val="20"/>
          <w:color w:val="auto"/>
        </w:rPr>
      </w:pPr>
    </w:p>
    <w:p>
      <w:pPr>
        <w:ind w:left="180" w:hanging="172"/>
        <w:spacing w:after="0" w:line="231" w:lineRule="auto"/>
        <w:tabs>
          <w:tab w:leader="none" w:pos="173"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 ended December 31, 2025: (i) depreciation and amortization expense of $54,236 and (ii) amortization of other comprehensive income of $(20,092).</w:t>
      </w:r>
    </w:p>
    <w:p>
      <w:pPr>
        <w:spacing w:after="0" w:line="26" w:lineRule="exact"/>
        <w:rPr>
          <w:rFonts w:ascii="Arial" w:cs="Arial" w:eastAsia="Arial" w:hAnsi="Arial"/>
          <w:sz w:val="19"/>
          <w:szCs w:val="19"/>
          <w:color w:val="auto"/>
          <w:vertAlign w:val="superscript"/>
        </w:rPr>
      </w:pPr>
    </w:p>
    <w:p>
      <w:pPr>
        <w:jc w:val="both"/>
        <w:ind w:left="180" w:hanging="172"/>
        <w:spacing w:after="0" w:line="272" w:lineRule="auto"/>
        <w:tabs>
          <w:tab w:leader="none" w:pos="201" w:val="left"/>
        </w:tabs>
        <w:numPr>
          <w:ilvl w:val="0"/>
          <w:numId w:val="24"/>
        </w:numPr>
        <w:rPr>
          <w:rFonts w:ascii="Arial" w:cs="Arial" w:eastAsia="Arial" w:hAnsi="Arial"/>
          <w:sz w:val="9"/>
          <w:szCs w:val="9"/>
          <w:color w:val="auto"/>
        </w:rPr>
      </w:pPr>
      <w:r>
        <w:rPr>
          <w:rFonts w:ascii="Arial" w:cs="Arial" w:eastAsia="Arial" w:hAnsi="Arial"/>
          <w:sz w:val="14"/>
          <w:szCs w:val="14"/>
          <w:color w:val="auto"/>
        </w:rPr>
        <w:t>Includes the following items for the years ended December 31, 2025, 2024 and 2023: (i) net income (loss) of $10,576, $(37,211) and $(8,858), (ii) depreciation and amortization expense of $2,185, $25,353 and $26,146, (iii) interest expense of $6,352, $37,600 and $31,109, (iv) acquisition and transaction expenses of $201, $209 and $445, (v) changes in fair value of non-hedge derivative instruments of $(12,822), $(1,488) and $(18,904), (vi) asset impairment charges of $—, $274 and $1,135, (vii) equity-based compensation expense of $—, $2 and $5, (viii) losses on modification or extinguishment of debt of $—, $4,724 and $—, (ix) equity method basis adjustments of $10, $65 and $(1,091) and (x) other non-recurring items of $1, $478 and $—, respectively.</w:t>
      </w:r>
    </w:p>
    <w:p>
      <w:pPr>
        <w:spacing w:after="0" w:line="5" w:lineRule="exact"/>
        <w:rPr>
          <w:rFonts w:ascii="Arial" w:cs="Arial" w:eastAsia="Arial" w:hAnsi="Arial"/>
          <w:sz w:val="9"/>
          <w:szCs w:val="9"/>
          <w:color w:val="auto"/>
        </w:rPr>
      </w:pPr>
    </w:p>
    <w:p>
      <w:pPr>
        <w:jc w:val="both"/>
        <w:ind w:left="180" w:hanging="172"/>
        <w:spacing w:after="0" w:line="283" w:lineRule="auto"/>
        <w:tabs>
          <w:tab w:leader="none" w:pos="194" w:val="left"/>
        </w:tabs>
        <w:numPr>
          <w:ilvl w:val="0"/>
          <w:numId w:val="24"/>
        </w:numPr>
        <w:rPr>
          <w:rFonts w:ascii="Arial" w:cs="Arial" w:eastAsia="Arial" w:hAnsi="Arial"/>
          <w:sz w:val="9"/>
          <w:szCs w:val="9"/>
          <w:color w:val="auto"/>
        </w:rPr>
      </w:pPr>
      <w:r>
        <w:rPr>
          <w:rFonts w:ascii="Arial" w:cs="Arial" w:eastAsia="Arial" w:hAnsi="Arial"/>
          <w:sz w:val="14"/>
          <w:szCs w:val="14"/>
          <w:color w:val="auto"/>
        </w:rPr>
        <w:t>Includes the following items for the year ended December 31, 2025: (i) equity-based compensation expense of $23, (ii) interest expense of $106, (iii) depreciation and amortization expense of $47, (iv) changes in fair value of non-hedge derivative instruments of $(2), (v) provision for income taxes of $143, (vi) acquisition and transaction expense of $16 and (vii) losses on modification or extinguishment of debt of $4.</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2025 and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Total revenues increased $179.3 million due to (i) a $156.2 million increase in power plant revenues, (ii) a $21.2 million increase in gas revenues (iii) and a $2.0 million increase in terminal service revenues as a result of the acquisition of GCM’s 49.9% interest in of Long Ridge Energy &amp; Power LLC in February 2025.</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$118.8 million primarily due to:</w:t>
      </w:r>
    </w:p>
    <w:p>
      <w:pPr>
        <w:spacing w:after="0" w:line="127" w:lineRule="exact"/>
        <w:rPr>
          <w:sz w:val="20"/>
          <w:szCs w:val="20"/>
          <w:color w:val="auto"/>
        </w:rPr>
      </w:pPr>
    </w:p>
    <w:p>
      <w:pPr>
        <w:ind w:left="660" w:right="20" w:hanging="328"/>
        <w:spacing w:after="0" w:line="28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in operating expenses of $60.2 million primarily related to increased drilling expenses at Ohio Gasco LLC and Long Ridge West Virginia, as well as increased legal expenses;</w:t>
      </w:r>
    </w:p>
    <w:p>
      <w:pPr>
        <w:spacing w:after="0" w:line="47"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in acquisition and transaction expenses of $4.3 million due to legal and consulting fees related to the acquisition of GCM’s 49.9% interest in Long Ridge Energy &amp; Power LLC in February 2025; and</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increase in depreciation and amortization expense of $54.2 million related to depreciation expense at the Terminal and Power Plant businesses as a result of the acquisition of GCM’s 49.9% interest in Long Ridge Energy &amp; Power LLC in February 2025.</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increased $70.9 million primarily due to:</w:t>
      </w:r>
    </w:p>
    <w:p>
      <w:pPr>
        <w:spacing w:after="0" w:line="127" w:lineRule="exact"/>
        <w:rPr>
          <w:sz w:val="20"/>
          <w:szCs w:val="20"/>
          <w:color w:val="auto"/>
        </w:rPr>
      </w:pPr>
    </w:p>
    <w:p>
      <w:pPr>
        <w:jc w:val="both"/>
        <w:ind w:left="660" w:hanging="328"/>
        <w:spacing w:after="0" w:line="27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in equity in earnings in unconsolidated entities of $47.7 million primarily due to the equity pickup of Long Ridge Energy &amp; Power LLC net losses in the prior year, while there were only two months of equity pickup in the current year since GCM’s 49.9% interest in Long Ridge Energy &amp; Power LLC was acquired in February 2025, and therefore no equity pickup recorded after the acquisition; and</w:t>
      </w:r>
    </w:p>
    <w:p>
      <w:pPr>
        <w:spacing w:after="0" w:line="56"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in gain on sale of asset of $120.0 million related to the acquisition of GCM’s 49.9% interest in Long Ridge Energy &amp; Power LLC in February 2025; partially offset by</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in interest expense of $88.5 million related to interest expense on Long Ridge debt that is now consolidated; and</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decrease in other income of $8.2 million related to a decrease in interest income due to the pay down of the investor loan to Long Ridge Energy &amp; Power LLC as part of the acquisition of GCM’s 49.9% interest in Long Ridge Energy &amp; Power LLC in February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Benefit from income taxes</w:t>
      </w:r>
    </w:p>
    <w:p>
      <w:pPr>
        <w:spacing w:after="0" w:line="16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Benefit from income taxes increased $7.5 million primarily due to the partial release of the valuation allowance in connection with the acquisition of GCM’s 49.9% interest in Long Ridge Energy &amp; Power LLC in February 2025.</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$192.7 million due to the changes noted above.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Sustainability and Energy Transition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8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50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72,336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(72,336)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72,336</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251</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72,360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(72,109)</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72,330</w:t>
            </w:r>
          </w:p>
        </w:tc>
        <w:tc>
          <w:tcPr>
            <w:tcW w:w="0" w:type="dxa"/>
            <w:vAlign w:val="bottom"/>
          </w:tcPr>
          <w:p>
            <w:pPr>
              <w:spacing w:after="0"/>
              <w:rPr>
                <w:sz w:val="1"/>
                <w:szCs w:val="1"/>
                <w:color w:val="auto"/>
              </w:rPr>
            </w:pPr>
          </w:p>
        </w:tc>
      </w:tr>
      <w:tr>
        <w:trPr>
          <w:trHeight w:val="251"/>
        </w:trPr>
        <w:tc>
          <w:tcPr>
            <w:tcW w:w="5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(7,558)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(18,390)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(14,814)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10,832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(3,576)</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8,969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8,969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1,842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97"/>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3,253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(12,285)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19,476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(3,938)</w:t>
            </w:r>
          </w:p>
        </w:tc>
        <w:tc>
          <w:tcPr>
            <w:tcW w:w="0" w:type="dxa"/>
            <w:vAlign w:val="bottom"/>
          </w:tcPr>
          <w:p>
            <w:pPr>
              <w:spacing w:after="0"/>
              <w:rPr>
                <w:sz w:val="1"/>
                <w:szCs w:val="1"/>
                <w:color w:val="auto"/>
              </w:rPr>
            </w:pPr>
          </w:p>
        </w:tc>
      </w:tr>
      <w:tr>
        <w:trPr>
          <w:trHeight w:val="133"/>
        </w:trPr>
        <w:tc>
          <w:tcPr>
            <w:tcW w:w="504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Net income (loss) attributable to stockholders, before series B preferred</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3,002</w:t>
            </w:r>
          </w:p>
        </w:tc>
        <w:tc>
          <w:tcPr>
            <w:tcW w:w="8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(88,583)</w:t>
            </w: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(12,315)</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91,585</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(76,268)</w:t>
            </w:r>
          </w:p>
        </w:tc>
        <w:tc>
          <w:tcPr>
            <w:tcW w:w="0" w:type="dxa"/>
            <w:vAlign w:val="bottom"/>
          </w:tcPr>
          <w:p>
            <w:pPr>
              <w:spacing w:after="0"/>
              <w:rPr>
                <w:sz w:val="1"/>
                <w:szCs w:val="1"/>
                <w:color w:val="auto"/>
              </w:rPr>
            </w:pPr>
          </w:p>
        </w:tc>
      </w:tr>
      <w:tr>
        <w:trPr>
          <w:trHeight w:val="163"/>
        </w:trPr>
        <w:tc>
          <w:tcPr>
            <w:tcW w:w="504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stock dividend and loss on extinguishment of preferred stock</w:t>
            </w:r>
          </w:p>
        </w:tc>
        <w:tc>
          <w:tcPr>
            <w:tcW w:w="28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3"/>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9" w:name="page50"/>
    <w:bookmarkEnd w:id="49"/>
    <w:p>
      <w:pPr>
        <w:spacing w:after="0" w:line="286" w:lineRule="auto"/>
        <w:rPr>
          <w:sz w:val="20"/>
          <w:szCs w:val="20"/>
          <w:color w:val="auto"/>
        </w:rPr>
      </w:pPr>
      <w:r>
        <w:rPr>
          <w:rFonts w:ascii="Arial" w:cs="Arial" w:eastAsia="Arial" w:hAnsi="Arial"/>
          <w:sz w:val="16"/>
          <w:szCs w:val="16"/>
          <w:color w:val="auto"/>
        </w:rPr>
        <w:t>The following table sets forth a reconciliation of net income (loss) attributable to stockholders, before series B preferred stock dividend and loss on extinguishment of preferred stock to Adjusted EBITDA: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29"/>
        </w:trPr>
        <w:tc>
          <w:tcPr>
            <w:tcW w:w="508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income (loss) attributable to stockholders, before series B preferred</w:t>
            </w:r>
          </w:p>
        </w:tc>
        <w:tc>
          <w:tcPr>
            <w:tcW w:w="2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3,002</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(88,583)</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(12,315)</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91,585</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(76,268)</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 dividend and loss on extinguishment of preferred stock</w:t>
            </w: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Losses on the modification or extinguishment of debt and capital lease</w:t>
            </w:r>
          </w:p>
        </w:tc>
        <w:tc>
          <w:tcPr>
            <w:tcW w:w="2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(70,401)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70,401</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7,407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Add: Other non-recurring items</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3,576</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64" w:lineRule="exact"/>
        <w:rPr>
          <w:sz w:val="20"/>
          <w:szCs w:val="20"/>
          <w:color w:val="auto"/>
        </w:rPr>
      </w:pPr>
    </w:p>
    <w:p>
      <w:pPr>
        <w:ind w:left="180" w:right="20" w:hanging="172"/>
        <w:spacing w:after="0" w:line="231" w:lineRule="auto"/>
        <w:tabs>
          <w:tab w:leader="none" w:pos="188"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2025, 2024 and 2023: (i) net loss of $(4,286), $(18,390) and $(14,814), (ii) depreciation and amortization expense of $699, $2,762 and $1,539, and (iii) interest expense of $1,284, $5,918 and $3,522,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2025 and 2024</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Total expenses decreased $72.3 million primarily due to the impairment of our investment and the related note receivable in GM-FTAI Holdco LLC in the prior year.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Total other income increased $19.5 million which reflects a decrease of $10.8 million in equity in losses of unconsolidated entities primarily due to lower operating losses at GM-FTAI Holdco LLC and an increase of $9.0 million in gain on sale of assets, net due to gain on sale of equity method investment in Clean Planet Energy USA LLC.</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$18.0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00497F"/>
        </w:rPr>
        <w:t>Corporate and Other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8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1,406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1,406</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Roadside services revenues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52,194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55,000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(13,190)</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53,600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55,000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68,190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(13,190)</w:t>
            </w:r>
          </w:p>
        </w:tc>
        <w:tc>
          <w:tcPr>
            <w:tcW w:w="0" w:type="dxa"/>
            <w:vAlign w:val="bottom"/>
          </w:tcPr>
          <w:p>
            <w:pPr>
              <w:spacing w:after="0"/>
              <w:rPr>
                <w:sz w:val="1"/>
                <w:szCs w:val="1"/>
                <w:color w:val="auto"/>
              </w:rPr>
            </w:pPr>
          </w:p>
        </w:tc>
      </w:tr>
      <w:tr>
        <w:trPr>
          <w:trHeight w:val="251"/>
        </w:trPr>
        <w:tc>
          <w:tcPr>
            <w:tcW w:w="5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54,215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53,584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(15,582)</w:t>
            </w:r>
          </w:p>
        </w:tc>
        <w:tc>
          <w:tcPr>
            <w:tcW w:w="0" w:type="dxa"/>
            <w:vAlign w:val="bottom"/>
          </w:tcPr>
          <w:p>
            <w:pPr>
              <w:spacing w:after="0"/>
              <w:rPr>
                <w:sz w:val="1"/>
                <w:szCs w:val="1"/>
                <w:color w:val="auto"/>
              </w:rPr>
            </w:pPr>
          </w:p>
        </w:tc>
      </w:tr>
      <w:tr>
        <w:trPr>
          <w:trHeight w:val="201"/>
        </w:trPr>
        <w:tc>
          <w:tcPr>
            <w:tcW w:w="50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16,222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14,798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1,424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1,965</w:t>
            </w:r>
          </w:p>
        </w:tc>
        <w:tc>
          <w:tcPr>
            <w:tcW w:w="0" w:type="dxa"/>
            <w:vAlign w:val="bottom"/>
          </w:tcPr>
          <w:p>
            <w:pPr>
              <w:spacing w:after="0"/>
              <w:rPr>
                <w:sz w:val="1"/>
                <w:szCs w:val="1"/>
                <w:color w:val="auto"/>
              </w:rPr>
            </w:pPr>
          </w:p>
        </w:tc>
      </w:tr>
      <w:tr>
        <w:trPr>
          <w:trHeight w:val="204"/>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9,769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01"/>
        </w:trPr>
        <w:tc>
          <w:tcPr>
            <w:tcW w:w="50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14,714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11,318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3,396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204"/>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98,328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83,722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99,554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14,606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(15,832)</w:t>
            </w:r>
          </w:p>
        </w:tc>
        <w:tc>
          <w:tcPr>
            <w:tcW w:w="0" w:type="dxa"/>
            <w:vAlign w:val="bottom"/>
          </w:tcPr>
          <w:p>
            <w:pPr>
              <w:spacing w:after="0"/>
              <w:rPr>
                <w:sz w:val="1"/>
                <w:szCs w:val="1"/>
                <w:color w:val="auto"/>
              </w:rPr>
            </w:pPr>
          </w:p>
        </w:tc>
      </w:tr>
      <w:tr>
        <w:trPr>
          <w:trHeight w:val="251"/>
        </w:trPr>
        <w:tc>
          <w:tcPr>
            <w:tcW w:w="5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entities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2"/>
        </w:trPr>
        <w:tc>
          <w:tcPr>
            <w:tcW w:w="50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(55,174)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(55,174)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(104,468)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(71,184)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(33,284)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(8,868)</w:t>
            </w:r>
          </w:p>
        </w:tc>
        <w:tc>
          <w:tcPr>
            <w:tcW w:w="0" w:type="dxa"/>
            <w:vAlign w:val="bottom"/>
          </w:tcPr>
          <w:p>
            <w:pPr>
              <w:spacing w:after="0"/>
              <w:rPr>
                <w:sz w:val="1"/>
                <w:szCs w:val="1"/>
                <w:color w:val="auto"/>
              </w:rPr>
            </w:pPr>
          </w:p>
        </w:tc>
      </w:tr>
      <w:tr>
        <w:trPr>
          <w:trHeight w:val="202"/>
        </w:trPr>
        <w:tc>
          <w:tcPr>
            <w:tcW w:w="502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7"/>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(159,460)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(71,122)</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(63,359)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(88,338)</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(7,763)</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(204,188)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(99,844)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(94,723)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(104,344)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(5,121)</w:t>
            </w:r>
          </w:p>
        </w:tc>
        <w:tc>
          <w:tcPr>
            <w:tcW w:w="0" w:type="dxa"/>
            <w:vAlign w:val="bottom"/>
          </w:tcPr>
          <w:p>
            <w:pPr>
              <w:spacing w:after="0"/>
              <w:rPr>
                <w:sz w:val="1"/>
                <w:szCs w:val="1"/>
                <w:color w:val="auto"/>
              </w:rPr>
            </w:pPr>
          </w:p>
        </w:tc>
      </w:tr>
      <w:tr>
        <w:trPr>
          <w:trHeight w:val="204"/>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(203,616)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(100,563)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(94,790)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(103,053)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(5,773)</w:t>
            </w:r>
          </w:p>
        </w:tc>
        <w:tc>
          <w:tcPr>
            <w:tcW w:w="0" w:type="dxa"/>
            <w:vAlign w:val="bottom"/>
          </w:tcPr>
          <w:p>
            <w:pPr>
              <w:spacing w:after="0"/>
              <w:rPr>
                <w:sz w:val="1"/>
                <w:szCs w:val="1"/>
                <w:color w:val="auto"/>
              </w:rPr>
            </w:pPr>
          </w:p>
        </w:tc>
      </w:tr>
      <w:tr>
        <w:trPr>
          <w:trHeight w:val="130"/>
        </w:trPr>
        <w:tc>
          <w:tcPr>
            <w:tcW w:w="50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and accretion of redeemable preferred stock</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55,622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70,814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8,414</w:t>
            </w:r>
          </w:p>
        </w:tc>
        <w:tc>
          <w:tcPr>
            <w:tcW w:w="0" w:type="dxa"/>
            <w:vAlign w:val="bottom"/>
          </w:tcPr>
          <w:p>
            <w:pPr>
              <w:spacing w:after="0"/>
              <w:rPr>
                <w:sz w:val="1"/>
                <w:szCs w:val="1"/>
                <w:color w:val="auto"/>
              </w:rPr>
            </w:pPr>
          </w:p>
        </w:tc>
      </w:tr>
      <w:tr>
        <w:trPr>
          <w:trHeight w:val="130"/>
        </w:trPr>
        <w:tc>
          <w:tcPr>
            <w:tcW w:w="50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attributable to stockholders, before series B preferred stock</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(259,238)</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(171,377)</w:t>
            </w: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(156,962)</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(87,861)</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(14,415)</w:t>
            </w:r>
          </w:p>
        </w:tc>
        <w:tc>
          <w:tcPr>
            <w:tcW w:w="0" w:type="dxa"/>
            <w:vAlign w:val="bottom"/>
          </w:tcPr>
          <w:p>
            <w:pPr>
              <w:spacing w:after="0"/>
              <w:rPr>
                <w:sz w:val="1"/>
                <w:szCs w:val="1"/>
                <w:color w:val="auto"/>
              </w:rPr>
            </w:pPr>
          </w:p>
        </w:tc>
      </w:tr>
      <w:tr>
        <w:trPr>
          <w:trHeight w:val="182"/>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dividend and loss on extinguishment of preferred stock</w:t>
            </w: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1" w:name="page52"/>
    <w:bookmarkEnd w:id="51"/>
    <w:p>
      <w:pPr>
        <w:spacing w:after="0" w:line="286" w:lineRule="auto"/>
        <w:rPr>
          <w:sz w:val="20"/>
          <w:szCs w:val="20"/>
          <w:color w:val="auto"/>
        </w:rPr>
      </w:pPr>
      <w:r>
        <w:rPr>
          <w:rFonts w:ascii="Arial" w:cs="Arial" w:eastAsia="Arial" w:hAnsi="Arial"/>
          <w:sz w:val="16"/>
          <w:szCs w:val="16"/>
          <w:color w:val="auto"/>
        </w:rPr>
        <w:t>The following table sets forth a reconciliation of net loss attributable to stockholders, before series B preferred stock dividend and loss on extinguishment of preferred stock to Adjusted EBITDA: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'25 vs ‘24</w:t>
            </w:r>
          </w:p>
        </w:tc>
        <w:tc>
          <w:tcPr>
            <w:tcW w:w="2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'24 vs ‘23</w:t>
            </w:r>
          </w:p>
        </w:tc>
        <w:tc>
          <w:tcPr>
            <w:tcW w:w="0" w:type="dxa"/>
            <w:vAlign w:val="bottom"/>
          </w:tcPr>
          <w:p>
            <w:pPr>
              <w:spacing w:after="0"/>
              <w:rPr>
                <w:sz w:val="1"/>
                <w:szCs w:val="1"/>
                <w:color w:val="auto"/>
              </w:rPr>
            </w:pPr>
          </w:p>
        </w:tc>
      </w:tr>
      <w:tr>
        <w:trPr>
          <w:trHeight w:val="129"/>
        </w:trPr>
        <w:tc>
          <w:tcPr>
            <w:tcW w:w="508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loss attributable to stockholders, before series B preferred stock</w:t>
            </w:r>
          </w:p>
        </w:tc>
        <w:tc>
          <w:tcPr>
            <w:tcW w:w="2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(259,238)</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(171,377)</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(156,962)</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(87,861)</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(14,415)</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dividend and loss on extinguishment of preferred stock</w:t>
            </w: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(572)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12,367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9,769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Losses on the modification or extinguishment of debt and capital lease</w:t>
            </w:r>
          </w:p>
        </w:tc>
        <w:tc>
          <w:tcPr>
            <w:tcW w:w="2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55,174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55,174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104,468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71,184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62,316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33,284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8,868</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Add: Dividends and accretion of redeemable preferred stock</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55,622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70,814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62,400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(15,192)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8,414</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and other costs on pension and OPEB liabilities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Add: Other non-recurring items </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21"/>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64" w:lineRule="exact"/>
        <w:rPr>
          <w:sz w:val="20"/>
          <w:szCs w:val="20"/>
          <w:color w:val="auto"/>
        </w:rPr>
      </w:pPr>
    </w:p>
    <w:p>
      <w:pPr>
        <w:ind w:left="180" w:hanging="172"/>
        <w:spacing w:after="0" w:line="231" w:lineRule="auto"/>
        <w:tabs>
          <w:tab w:leader="none" w:pos="185"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2025, 2024 and 2023: (i) net loss of $(50), $(55) and $(80) and (ii) interest expense of $12, $31 and $55, respectively.</w:t>
      </w:r>
    </w:p>
    <w:p>
      <w:pPr>
        <w:spacing w:after="0" w:line="26"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8"/>
        </w:numPr>
        <w:rPr>
          <w:rFonts w:ascii="Arial" w:cs="Arial" w:eastAsia="Arial" w:hAnsi="Arial"/>
          <w:sz w:val="9"/>
          <w:szCs w:val="9"/>
          <w:color w:val="auto"/>
        </w:rPr>
      </w:pPr>
      <w:r>
        <w:rPr>
          <w:rFonts w:ascii="Arial" w:cs="Arial" w:eastAsia="Arial" w:hAnsi="Arial"/>
          <w:sz w:val="14"/>
          <w:szCs w:val="14"/>
          <w:color w:val="auto"/>
        </w:rPr>
        <w:t>Includes the following items for the year ended December 31, 2025: (i) non-ordinary professional fees of $955.</w:t>
      </w:r>
    </w:p>
    <w:p>
      <w:pPr>
        <w:spacing w:after="0" w:line="51" w:lineRule="exact"/>
        <w:rPr>
          <w:rFonts w:ascii="Arial" w:cs="Arial" w:eastAsia="Arial" w:hAnsi="Arial"/>
          <w:sz w:val="9"/>
          <w:szCs w:val="9"/>
          <w:color w:val="auto"/>
        </w:rPr>
      </w:pPr>
    </w:p>
    <w:p>
      <w:pPr>
        <w:ind w:left="160" w:hanging="152"/>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 ended December 31, 2025, 2024 and 2023: (i) depreciation and amortization expense of $—, $— and $260,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2025 and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decreased $1.4 million primarily due to a decrease in roadside services at FYX.</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$14.6 million primarily due to:</w:t>
      </w:r>
    </w:p>
    <w:p>
      <w:pPr>
        <w:spacing w:after="0" w:line="113"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b w:val="1"/>
          <w:bCs w:val="1"/>
          <w:i w:val="1"/>
          <w:iCs w:val="1"/>
          <w:color w:val="00497F"/>
        </w:rPr>
      </w:pPr>
      <w:r>
        <w:rPr>
          <w:rFonts w:ascii="Arial" w:cs="Arial" w:eastAsia="Arial" w:hAnsi="Arial"/>
          <w:sz w:val="16"/>
          <w:szCs w:val="16"/>
          <w:color w:val="auto"/>
        </w:rPr>
        <w:t>an increase in acquisition and transaction expenses of $9.8 million due to higher professional fees; and</w:t>
      </w:r>
    </w:p>
    <w:p>
      <w:pPr>
        <w:spacing w:after="0" w:line="113" w:lineRule="exact"/>
        <w:rPr>
          <w:rFonts w:ascii="Arial" w:cs="Arial" w:eastAsia="Arial" w:hAnsi="Arial"/>
          <w:sz w:val="16"/>
          <w:szCs w:val="16"/>
          <w:b w:val="1"/>
          <w:bCs w:val="1"/>
          <w:i w:val="1"/>
          <w:iCs w:val="1"/>
          <w:color w:val="00497F"/>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increase in general and administrative expense of $1.4 million primarily due to higher professional fees.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1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Total other expense increased $88.3 million due to an increase in interest expense of $33.3 million due to the issuance of the Corporate Bridge Loan in August 2025 and an increase in loss on extinguishment of debt of $55.2 million due to paydown of the Senior Notes due 2027 in August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Dividends and accretion of redeemable preferred stock</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Dividends and accretion of redeemable preferred stock decreased $15.2 million due to payoff of Series A Preferred Stock in August 2025.</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$5.9 million primarily due to the changes noted above.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Transactions with Affiliates and Affiliated Entities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managed by the Manager, an affiliate of Fortress, pursuant to our Management Agreement, which provides for us to bear obligations for management fees and expense reimbursements payable to the Manager. Pursuant to the terms of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2" w:name="page53"/>
    <w:bookmarkEnd w:id="52"/>
    <w:p>
      <w:pPr>
        <w:jc w:val="both"/>
        <w:spacing w:after="0" w:line="261" w:lineRule="auto"/>
        <w:rPr>
          <w:sz w:val="20"/>
          <w:szCs w:val="20"/>
          <w:color w:val="auto"/>
        </w:rPr>
      </w:pPr>
      <w:r>
        <w:rPr>
          <w:rFonts w:ascii="Arial" w:cs="Arial" w:eastAsia="Arial" w:hAnsi="Arial"/>
          <w:sz w:val="16"/>
          <w:szCs w:val="16"/>
          <w:color w:val="auto"/>
        </w:rPr>
        <w:t xml:space="preserve">Management Agreement, the Manager provides a management team and other professionals who are responsible for implementing our business strategy and performing certain services for us, subject to oversight by our board of directors. Our Management Agreement has an initial six-year term and is automatically renewed for one-year terms thereafter unless terminated either by us or our Manager. For its services, our Manager is entitled to receive a management fee from us, payable monthly, that is based on the average value of our total equity (including preferred stock, but excluding non-controlling common interests) determined on a consolidated basis in accordance with GAAP as of the last day of the two most recently completed months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an annual rate of 1.50%. In addition, we are obligated to reimburse certain expenses incurred by our Manager on our behalf.</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Geographic Information</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Please refer to Note 17 of our consolidated financial statements for information by geographic area for each segment, all located in North America, of revenues from our external customers, for the years ended December 31, 2025, 2024 and 2023, as well as the geographic area for each segment of our total property, plant and equipment as of December 31, 2025 and 2024.</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w:t>
      </w:r>
    </w:p>
    <w:p>
      <w:pPr>
        <w:spacing w:after="0" w:line="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Subsequent to September 30, 2025, we have (i) refinanced the Bridge Loan Credit Agreement with the Term Loan Credit Agreement (see Note 21 for additional details), (ii) paid down the Jefferson June 2025 Credit Agreement and (iii) entered into a binding Commitment Agreement (the “Backstop Agreement”) dated March 16, 2026, pursuant to which we may, at our sole option, on or prior to July 1, 2026, elect to borrow from a lender funds in an aggregate principal amount of $255 million pursuant to a bridge facility that will have a maturity date which is 364 days after the close of such bridge facility (see Note 21 for additional details). As disclosed in Note 8, the Company has significant debt obligations, which it continues to actively manage. As part of our evaluation under ASC 205-40, management reviewed its forecasted cash flows including debt maturities over the next 12 months and concluded that the Company’s current liquidity, forecasted cash flows from operations and completed financing transactions are not sufficient to allow the Company to meet its obligations as they become due including repayment of the $218 million Jefferson Taxable Series 2024B Bonds upon their maturity (see Note 8 for additional detail). While management intends to refinance the $218 million Jefferson Taxable Series 2024B Bonds with long term financing, if such plans are not met, the Company would draw on the Backstop Agreement to pay off the Jefferson Taxable Series 2024B Bonds due July 1, 2026. Additionally, management’s plan includes exercising existing contractual options to extend the DRP DB Term Loan of $106 million, the first tranche of EB-5 Loan Agreement of $26 million, and the second tranche of EB-5 Loan Agreement of $9.7 million that will extend maturities to May 30, 2028, January 25, 2028, and March 11, 2028, respectively. Management concluded that such plans are probable of being implemented and the Company will have sufficient liquidity to meet its obligations as they become due over the next twelve months from the date that the consolidated financial statements were issued. Management will continue to evaluate its liquidity and financial position and update future plans accordingly.</w:t>
      </w:r>
    </w:p>
    <w:p>
      <w:pPr>
        <w:spacing w:after="0" w:line="8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principal uses of liquidity have been and continue to be (i) acquisitions of and investments in infrastructure assets, (ii) expenses associated with our operating activities and (iii) debt service obligations associated with our investments.</w:t>
      </w:r>
    </w:p>
    <w:p>
      <w:pPr>
        <w:spacing w:after="0" w:line="33" w:lineRule="exact"/>
        <w:rPr>
          <w:sz w:val="20"/>
          <w:szCs w:val="20"/>
          <w:color w:val="auto"/>
        </w:rPr>
      </w:pPr>
    </w:p>
    <w:p>
      <w:pPr>
        <w:ind w:left="660" w:hanging="328"/>
        <w:spacing w:after="0" w:line="304"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$1.1 billion, $118.1 million and $147.1 million during the years ended December 31, 2025, 2024 and 2023, respectively.</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6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principal sources of liquidity to fund these uses have been and continue to be (i) cash and restricted cash on hand as of December 31, 2025, (ii) revenues from our infrastructure businesses net of operating expenses, (iii) proceeds from borrowings and (iv) proceeds from asset sales.</w:t>
      </w:r>
    </w:p>
    <w:p>
      <w:pPr>
        <w:spacing w:after="0" w:line="48" w:lineRule="exact"/>
        <w:rPr>
          <w:sz w:val="20"/>
          <w:szCs w:val="20"/>
          <w:color w:val="auto"/>
        </w:rPr>
      </w:pPr>
    </w:p>
    <w:p>
      <w:pPr>
        <w:jc w:val="both"/>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the year ended December 31, 2025, additional borrowings were obtained in connection with the (i) the Long Ridge Acquiom Loan of $40.0 million, (ii) the June 2025 Jefferson Credit Agreement of $30.0 million, (iii) the DRP DB Term Loan of $100.0 million, (iv) the Series 2025 Bonds of $300.0 million, (v) the Bridge Loan Credit Agreement of $1.25 billion and (vi) the RailCo Revolver of $50 million. Additionally, during the year ended December 31, 2025, we acquired the (i) Long Ridge CanAm loan of $115.2 million, (ii) Senior Secured Notes due 2032 of $600.0 million, (iii) February 2025 Long Ridge Credit Agreement of $400.0 million and (iv) Long Ridge GCM Note of $20.0 million in connection with the acquisition of Long Ridge Energy &amp; Power LLC (see Note 3 for additional details). In May 2025, we used a portion of the net proceeds from the Series 2025 Bonds and DRP DB Term Loan to repay (i) the March 2025 Repauno Credit Agreement of $30.0 million, (ii) the October 2024 Jefferson Credit Agreement of $50.0 million and (iii) the DRP Revolver of $44.3 million. In August 2025, we used a portion of the net proceeds from the Bridge Loan Credit Agreement to redeem the Senior Notes due 2027 and Series A Preferred Stock.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3" w:name="page54"/>
    <w:bookmarkEnd w:id="53"/>
    <w:p>
      <w:pPr>
        <w:jc w:val="both"/>
        <w:ind w:left="660" w:hanging="328"/>
        <w:spacing w:after="0" w:line="26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the year ended December 31, 2024, additional borrowings were obtained in connection with the (i) April 2024 Jefferson Credit Agreement of $75.0 million, (ii) Series 2024 Bond Offering of $382.3 million and (iii) October 2024 Jefferson Credit Agreement of $50.0 million. In June 2024, we used a portion of the net proceeds from the Series 2024 Bonds to (i) repay the Jefferson Credit Agreement of $75.0 million, (ii) fund the $108.0 million for the Tender Offer and (iii) refinance the Taxable Series 2020B Bonds of $79.1 million. In August 2024, we used a portion of the net proceeds from the Series 2024 Bonds to repurchase and cancel an additional $6.0 million of the Tax Exempt Series 2021A Bonds.</w:t>
      </w:r>
    </w:p>
    <w:p>
      <w:pPr>
        <w:spacing w:after="0" w:line="64"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the year ended December 31, 2023, additional borrowings were obtained in connection with the (i) EB-5 Loan Agreement of $1.6 million, (ii) Transtar Revolver of $40.0 million, (iii) Credit Agreement of $25.0 million, (iv) 2027 Notes (as defined in Note 8 of the consolidated financial statements) of $100.0 million and (v) DRP Revolver of $19.3 million. In July 2023, we used a portion of the net proceeds from the additional $100.0 million aggregate principal amount of the 2027 Notes to repay the amounts outstanding under the Transtar Revolver and Credit Agreement in full.</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currently evaluating several potential transactions and related financings, including, but not limited to, providing for increased debt capacity at certain of our subsidiaries, which could occur within the next 12 months. None of these transactions, negotiations or financings are definitive or included within our planned liquidity needs. We cannot assure if or when any such transaction will be consummated or the terms of any such transaction. In addition, from time to time, we may seek to repay, refinance or restructure all or a portion of our debt or to repurchase or repay our outstanding debt through, as applicable, tender offers, exchange offers, open market purchases, privately negotiated transactions or otherwise. Such transactions, if any, will depend on a number of factors, including prevailing market conditions, our liquidity requirements and contractual requirements (including compliance with the terms of our debt agreements), among other factors.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historical cash flow: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7"/>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r>
      <w:tr>
        <w:trPr>
          <w:trHeight w:val="183"/>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2"/>
        </w:trPr>
        <w:tc>
          <w:tcPr>
            <w:tcW w:w="6580" w:type="dxa"/>
            <w:vAlign w:val="bottom"/>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(118,008)</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(15,278)</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5,513</w:t>
            </w:r>
          </w:p>
        </w:tc>
      </w:tr>
      <w:tr>
        <w:trPr>
          <w:trHeight w:val="203"/>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(1,142,666)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(118,137)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(147,123)</w:t>
            </w:r>
          </w:p>
        </w:tc>
      </w:tr>
      <w:tr>
        <w:trPr>
          <w:trHeight w:val="200"/>
        </w:trPr>
        <w:tc>
          <w:tcPr>
            <w:tcW w:w="658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1,439,324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193,232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79,447</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2025 and 2024</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Net cash used in operating activities increased $102.7 million, which primarily reflects (i) a decrease in net loss of $114.0 million, (ii) an increase in loss on modification or extinguishment of debt of $50.4 million, (iii) an increase in depreciation and amortization of $53.1 million and (iv) an increase in amortization of deferred financing costs of $4.7 million, offset by (v) an increase in equity in earnings of unconsolidated entities of $67.8 million, (vi) an increase in gain on the sale of assets of $2.4 million, (vii) changes in working capital of $56.0 million, (viii) an increase in asset impairment of $67.9 million, (ix) changes in deferred income taxes of $7.7 million, (x) an increase in amortization of other comprehensive income of $20.1 million, and (xi) an increase in gain on sale of subsidiaries of $128.9 million.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Net cash used in investing activities increased $1.0 billion primarily due to (i) an increase in acquisition of property, plant and equipment of $201.0 million, (ii) an increase in the investment in unconsolidated entities of $14.7 million, and (iii) an increase in cash provided by the acquisition of business of $856.6 million, partially offset by (iv) a decrease in investment in convertible promissory notes of $31.4 million and (v) an increase in proceeds from investor loan of $11.0 million.</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provided by financing activities increased $1.2 billion primarily due to (i) an increase in proceeds from debt of $1.3 billion, (ii) an increase in proceeds from the issuance of redeemable preferred stock of $1.0 billion and (iii) a decrease in distributions to non-controlling interests of $13.7 million, partially offset by (iv) repayment of debt proceeds of $532.8 million, (v) an increase in repayment of preferred stock of $447.1 million, (vi) an increase in</w:t>
      </w:r>
    </w:p>
    <w:p>
      <w:pPr>
        <w:spacing w:after="0" w:line="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payment of deferred financing costs of $50.6 million, (vii) an increase in the payment of cash dividends on preferred stock of $10.9 million and (viii) an increase in redeemable preferred stock issuance costs of $21.2 million.</w:t>
      </w:r>
    </w:p>
    <w:p>
      <w:pPr>
        <w:spacing w:after="0" w:line="4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 a discussion of the year ended December 31, 2024 compared to the year ended December 31, 2023, please refer to Part II, Item 7, "Liquidity and Capital Resources" in our Annual Report on Form 10-K for the year ended December 31, 2024.</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Covenants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in compliance with all of our debt covenants as of December 31, 2025. See Note 8 to the consolidated financial statements for information related to our debt obligations and respective covenants.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00497F"/>
        </w:rPr>
        <w:t>Contractual Obligations and Cash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material cash requirements include the following contractual and other obligations: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Debt Obligations</w:t>
      </w:r>
      <w:r>
        <w:rPr>
          <w:rFonts w:ascii="Arial" w:cs="Arial" w:eastAsia="Arial" w:hAnsi="Arial"/>
          <w:sz w:val="16"/>
          <w:szCs w:val="16"/>
          <w:b w:val="1"/>
          <w:bCs w:val="1"/>
          <w:i w:val="1"/>
          <w:iCs w:val="1"/>
          <w:color w:val="000000"/>
        </w:rPr>
        <w:t>—</w:t>
      </w:r>
      <w:r>
        <w:rPr>
          <w:rFonts w:ascii="Arial" w:cs="Arial" w:eastAsia="Arial" w:hAnsi="Arial"/>
          <w:sz w:val="16"/>
          <w:szCs w:val="16"/>
          <w:color w:val="000000"/>
        </w:rPr>
        <w:t>As of December 31, 2025, we have outstanding principal and interest payment obligations of $3.8 billion and $1.3 billion, respectively,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which, there are $1.6 billion of principal payments due and $248.9 million of interest payments due within the next twelve months. See Note 2 for liquidity discussion and Note 8 of the consolidated financial statements for additional information about our debt obligations.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Obligations</w:t>
      </w:r>
      <w:r>
        <w:rPr>
          <w:rFonts w:ascii="Arial" w:cs="Arial" w:eastAsia="Arial" w:hAnsi="Arial"/>
          <w:sz w:val="16"/>
          <w:szCs w:val="16"/>
          <w:b w:val="1"/>
          <w:bCs w:val="1"/>
          <w:i w:val="1"/>
          <w:iCs w:val="1"/>
          <w:color w:val="000000"/>
        </w:rPr>
        <w:t>—</w:t>
      </w:r>
      <w:r>
        <w:rPr>
          <w:rFonts w:ascii="Arial" w:cs="Arial" w:eastAsia="Arial" w:hAnsi="Arial"/>
          <w:sz w:val="16"/>
          <w:szCs w:val="16"/>
          <w:color w:val="000000"/>
        </w:rPr>
        <w:t>As of December 31, 2025, we had operating and finance lease obligations of $295.5 million, of which $12.2 million is due within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next twelve months.</w:t>
      </w:r>
    </w:p>
    <w:p>
      <w:pPr>
        <w:spacing w:after="0" w:line="6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00497F"/>
        </w:rPr>
        <w:t>Redeemable Preferred Stock Obligations</w:t>
      </w:r>
      <w:r>
        <w:rPr>
          <w:rFonts w:ascii="Arial" w:cs="Arial" w:eastAsia="Arial" w:hAnsi="Arial"/>
          <w:sz w:val="16"/>
          <w:szCs w:val="16"/>
          <w:color w:val="000000"/>
        </w:rPr>
        <w:t>—We have dividend payments of $132.2 million due on our redeemable preferred stock within the next twelve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months with an option to paid-in-kind dividends at a higher interest rate and to defer payment for twelve months. See Notes 2 and 18 for additional information related to our preferred stock obligations.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Other Cash Requirements</w:t>
      </w:r>
      <w:r>
        <w:rPr>
          <w:rFonts w:ascii="Arial" w:cs="Arial" w:eastAsia="Arial" w:hAnsi="Arial"/>
          <w:sz w:val="16"/>
          <w:szCs w:val="16"/>
          <w:color w:val="000000"/>
        </w:rPr>
        <w:t>—In addition to our contractual obligations, we may pay quarterly cash dividends on our common stock, which are subject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change at the discretion of our board of directors.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their estimated useful lives, to estimated residual values which are summarized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tcPr>
          <w:p>
            <w:pPr>
              <w:ind w:left="1640"/>
              <w:spacing w:after="0"/>
              <w:rPr>
                <w:sz w:val="20"/>
                <w:szCs w:val="20"/>
                <w:color w:val="auto"/>
              </w:rPr>
            </w:pPr>
            <w:r>
              <w:rPr>
                <w:rFonts w:ascii="Arial" w:cs="Arial" w:eastAsia="Arial" w:hAnsi="Arial"/>
                <w:sz w:val="14"/>
                <w:szCs w:val="14"/>
                <w:b w:val="1"/>
                <w:bCs w:val="1"/>
                <w:color w:val="auto"/>
              </w:rPr>
              <w:t>Asset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tcPr>
          <w:p>
            <w:pPr>
              <w:ind w:left="640"/>
              <w:spacing w:after="0"/>
              <w:rPr>
                <w:sz w:val="20"/>
                <w:szCs w:val="20"/>
                <w:color w:val="auto"/>
              </w:rPr>
            </w:pPr>
            <w:r>
              <w:rPr>
                <w:rFonts w:ascii="Arial" w:cs="Arial" w:eastAsia="Arial" w:hAnsi="Arial"/>
                <w:sz w:val="14"/>
                <w:szCs w:val="14"/>
                <w:b w:val="1"/>
                <w:bCs w:val="1"/>
                <w:color w:val="auto"/>
              </w:rPr>
              <w:t>Range of Estimated Useful Lives</w:t>
            </w:r>
          </w:p>
        </w:tc>
        <w:tc>
          <w:tcPr>
            <w:tcW w:w="3920" w:type="dxa"/>
            <w:vAlign w:val="bottom"/>
          </w:tcPr>
          <w:p>
            <w:pPr>
              <w:ind w:left="1320"/>
              <w:spacing w:after="0"/>
              <w:rPr>
                <w:sz w:val="20"/>
                <w:szCs w:val="20"/>
                <w:color w:val="auto"/>
              </w:rPr>
            </w:pPr>
            <w:r>
              <w:rPr>
                <w:rFonts w:ascii="Arial" w:cs="Arial" w:eastAsia="Arial" w:hAnsi="Arial"/>
                <w:sz w:val="14"/>
                <w:szCs w:val="14"/>
                <w:b w:val="1"/>
                <w:bCs w:val="1"/>
                <w:color w:val="auto"/>
              </w:rPr>
              <w:t>Residual Value Estimates</w:t>
            </w:r>
          </w:p>
        </w:tc>
      </w:tr>
      <w:tr>
        <w:trPr>
          <w:trHeight w:val="20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Railcars and locomotives</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40</w:t>
            </w:r>
          </w:p>
        </w:tc>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- 50 years from date of manufacture</w:t>
            </w:r>
          </w:p>
        </w:tc>
        <w:tc>
          <w:tcPr>
            <w:tcW w:w="3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Scrap value at end of useful life</w:t>
            </w:r>
          </w:p>
        </w:tc>
      </w:tr>
      <w:tr>
        <w:trPr>
          <w:trHeight w:val="198"/>
        </w:trPr>
        <w:tc>
          <w:tcPr>
            <w:tcW w:w="3040" w:type="dxa"/>
            <w:vAlign w:val="bottom"/>
          </w:tcPr>
          <w:p>
            <w:pPr>
              <w:ind w:left="20"/>
              <w:spacing w:after="0"/>
              <w:rPr>
                <w:sz w:val="20"/>
                <w:szCs w:val="20"/>
                <w:color w:val="auto"/>
              </w:rPr>
            </w:pPr>
            <w:r>
              <w:rPr>
                <w:rFonts w:ascii="Arial" w:cs="Arial" w:eastAsia="Arial" w:hAnsi="Arial"/>
                <w:sz w:val="14"/>
                <w:szCs w:val="14"/>
                <w:color w:val="auto"/>
              </w:rPr>
              <w:t>Track and track related assets</w:t>
            </w:r>
          </w:p>
        </w:tc>
        <w:tc>
          <w:tcPr>
            <w:tcW w:w="940" w:type="dxa"/>
            <w:vAlign w:val="bottom"/>
            <w:gridSpan w:val="2"/>
          </w:tcPr>
          <w:p>
            <w:pPr>
              <w:ind w:left="760"/>
              <w:spacing w:after="0"/>
              <w:rPr>
                <w:sz w:val="20"/>
                <w:szCs w:val="20"/>
                <w:color w:val="auto"/>
              </w:rPr>
            </w:pPr>
            <w:r>
              <w:rPr>
                <w:rFonts w:ascii="Arial" w:cs="Arial" w:eastAsia="Arial" w:hAnsi="Arial"/>
                <w:sz w:val="14"/>
                <w:szCs w:val="14"/>
                <w:color w:val="auto"/>
              </w:rPr>
              <w:t>15</w:t>
            </w:r>
          </w:p>
        </w:tc>
        <w:tc>
          <w:tcPr>
            <w:tcW w:w="3340" w:type="dxa"/>
            <w:vAlign w:val="bottom"/>
          </w:tcPr>
          <w:p>
            <w:pPr>
              <w:ind w:left="20"/>
              <w:spacing w:after="0"/>
              <w:rPr>
                <w:sz w:val="20"/>
                <w:szCs w:val="20"/>
                <w:color w:val="auto"/>
              </w:rPr>
            </w:pPr>
            <w:r>
              <w:rPr>
                <w:rFonts w:ascii="Arial" w:cs="Arial" w:eastAsia="Arial" w:hAnsi="Arial"/>
                <w:sz w:val="14"/>
                <w:szCs w:val="14"/>
                <w:color w:val="auto"/>
              </w:rPr>
              <w:t>- 50 years from date of manufacture</w:t>
            </w:r>
          </w:p>
        </w:tc>
        <w:tc>
          <w:tcPr>
            <w:tcW w:w="3920" w:type="dxa"/>
            <w:vAlign w:val="bottom"/>
          </w:tcPr>
          <w:p>
            <w:pPr>
              <w:ind w:left="460"/>
              <w:spacing w:after="0"/>
              <w:rPr>
                <w:sz w:val="20"/>
                <w:szCs w:val="20"/>
                <w:color w:val="auto"/>
              </w:rPr>
            </w:pPr>
            <w:r>
              <w:rPr>
                <w:rFonts w:ascii="Arial" w:cs="Arial" w:eastAsia="Arial" w:hAnsi="Arial"/>
                <w:sz w:val="14"/>
                <w:szCs w:val="14"/>
                <w:color w:val="auto"/>
              </w:rPr>
              <w:t>Scrap value at end of useful life</w:t>
            </w:r>
          </w:p>
        </w:tc>
      </w:tr>
      <w:tr>
        <w:trPr>
          <w:trHeight w:val="207"/>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428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N/A</w:t>
            </w:r>
          </w:p>
        </w:tc>
        <w:tc>
          <w:tcPr>
            <w:tcW w:w="3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N/A</w:t>
            </w:r>
          </w:p>
        </w:tc>
      </w:tr>
      <w:tr>
        <w:trPr>
          <w:trHeight w:val="198"/>
        </w:trPr>
        <w:tc>
          <w:tcPr>
            <w:tcW w:w="3040" w:type="dxa"/>
            <w:vAlign w:val="bottom"/>
          </w:tcPr>
          <w:p>
            <w:pPr>
              <w:ind w:left="20"/>
              <w:spacing w:after="0"/>
              <w:rPr>
                <w:sz w:val="20"/>
                <w:szCs w:val="20"/>
                <w:color w:val="auto"/>
              </w:rPr>
            </w:pPr>
            <w:r>
              <w:rPr>
                <w:rFonts w:ascii="Arial" w:cs="Arial" w:eastAsia="Arial" w:hAnsi="Arial"/>
                <w:sz w:val="14"/>
                <w:szCs w:val="14"/>
                <w:color w:val="auto"/>
              </w:rPr>
              <w:t>Bridges and tunnels</w:t>
            </w:r>
          </w:p>
        </w:tc>
        <w:tc>
          <w:tcPr>
            <w:tcW w:w="940" w:type="dxa"/>
            <w:vAlign w:val="bottom"/>
            <w:gridSpan w:val="2"/>
          </w:tcPr>
          <w:p>
            <w:pPr>
              <w:ind w:left="760"/>
              <w:spacing w:after="0"/>
              <w:rPr>
                <w:sz w:val="20"/>
                <w:szCs w:val="20"/>
                <w:color w:val="auto"/>
              </w:rPr>
            </w:pPr>
            <w:r>
              <w:rPr>
                <w:rFonts w:ascii="Arial" w:cs="Arial" w:eastAsia="Arial" w:hAnsi="Arial"/>
                <w:sz w:val="14"/>
                <w:szCs w:val="14"/>
                <w:color w:val="auto"/>
              </w:rPr>
              <w:t>15</w:t>
            </w:r>
          </w:p>
        </w:tc>
        <w:tc>
          <w:tcPr>
            <w:tcW w:w="3340" w:type="dxa"/>
            <w:vAlign w:val="bottom"/>
          </w:tcPr>
          <w:p>
            <w:pPr>
              <w:ind w:left="20"/>
              <w:spacing w:after="0"/>
              <w:rPr>
                <w:sz w:val="20"/>
                <w:szCs w:val="20"/>
                <w:color w:val="auto"/>
              </w:rPr>
            </w:pPr>
            <w:r>
              <w:rPr>
                <w:rFonts w:ascii="Arial" w:cs="Arial" w:eastAsia="Arial" w:hAnsi="Arial"/>
                <w:sz w:val="14"/>
                <w:szCs w:val="14"/>
                <w:color w:val="auto"/>
              </w:rPr>
              <w:t>- 55 years</w:t>
            </w:r>
          </w:p>
        </w:tc>
        <w:tc>
          <w:tcPr>
            <w:tcW w:w="3920" w:type="dxa"/>
            <w:vAlign w:val="bottom"/>
          </w:tcPr>
          <w:p>
            <w:pPr>
              <w:ind w:left="460"/>
              <w:spacing w:after="0"/>
              <w:rPr>
                <w:sz w:val="20"/>
                <w:szCs w:val="20"/>
                <w:color w:val="auto"/>
              </w:rPr>
            </w:pPr>
            <w:r>
              <w:rPr>
                <w:rFonts w:ascii="Arial" w:cs="Arial" w:eastAsia="Arial" w:hAnsi="Arial"/>
                <w:sz w:val="14"/>
                <w:szCs w:val="14"/>
                <w:color w:val="auto"/>
              </w:rPr>
              <w:t>Scrap value at end of useful life</w:t>
            </w:r>
          </w:p>
        </w:tc>
      </w:tr>
      <w:tr>
        <w:trPr>
          <w:trHeight w:val="207"/>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site improvements</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20</w:t>
            </w:r>
          </w:p>
        </w:tc>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- 30 years</w:t>
            </w:r>
          </w:p>
        </w:tc>
        <w:tc>
          <w:tcPr>
            <w:tcW w:w="3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Scrap value at end of useful life</w:t>
            </w:r>
          </w:p>
        </w:tc>
      </w:tr>
      <w:tr>
        <w:trPr>
          <w:trHeight w:val="198"/>
        </w:trPr>
        <w:tc>
          <w:tcPr>
            <w:tcW w:w="304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860" w:type="dxa"/>
            <w:vAlign w:val="bottom"/>
          </w:tcPr>
          <w:p>
            <w:pPr>
              <w:ind w:left="760"/>
              <w:spacing w:after="0"/>
              <w:rPr>
                <w:sz w:val="20"/>
                <w:szCs w:val="20"/>
                <w:color w:val="auto"/>
              </w:rPr>
            </w:pPr>
            <w:r>
              <w:rPr>
                <w:rFonts w:ascii="Arial" w:cs="Arial" w:eastAsia="Arial" w:hAnsi="Arial"/>
                <w:sz w:val="14"/>
                <w:szCs w:val="14"/>
                <w:color w:val="auto"/>
              </w:rPr>
              <w:t>3</w:t>
            </w: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- 15 years from date of manufacture</w:t>
            </w:r>
          </w:p>
        </w:tc>
        <w:tc>
          <w:tcPr>
            <w:tcW w:w="3920" w:type="dxa"/>
            <w:vAlign w:val="bottom"/>
          </w:tcPr>
          <w:p>
            <w:pPr>
              <w:ind w:left="460"/>
              <w:spacing w:after="0"/>
              <w:rPr>
                <w:sz w:val="20"/>
                <w:szCs w:val="20"/>
                <w:color w:val="auto"/>
              </w:rPr>
            </w:pPr>
            <w:r>
              <w:rPr>
                <w:rFonts w:ascii="Arial" w:cs="Arial" w:eastAsia="Arial" w:hAnsi="Arial"/>
                <w:sz w:val="14"/>
                <w:szCs w:val="14"/>
                <w:color w:val="auto"/>
              </w:rPr>
              <w:t>Scrap value at end of useful life</w:t>
            </w:r>
          </w:p>
        </w:tc>
      </w:tr>
      <w:tr>
        <w:trPr>
          <w:trHeight w:val="207"/>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Power plant</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15</w:t>
            </w:r>
          </w:p>
        </w:tc>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- 40 years</w:t>
            </w:r>
          </w:p>
        </w:tc>
        <w:tc>
          <w:tcPr>
            <w:tcW w:w="3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None</w:t>
            </w:r>
          </w:p>
        </w:tc>
      </w:tr>
      <w:tr>
        <w:trPr>
          <w:trHeight w:val="198"/>
        </w:trPr>
        <w:tc>
          <w:tcPr>
            <w:tcW w:w="304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940" w:type="dxa"/>
            <w:vAlign w:val="bottom"/>
            <w:gridSpan w:val="2"/>
          </w:tcPr>
          <w:p>
            <w:pPr>
              <w:ind w:left="760"/>
              <w:spacing w:after="0"/>
              <w:rPr>
                <w:sz w:val="20"/>
                <w:szCs w:val="20"/>
                <w:color w:val="auto"/>
              </w:rPr>
            </w:pPr>
            <w:r>
              <w:rPr>
                <w:rFonts w:ascii="Arial" w:cs="Arial" w:eastAsia="Arial" w:hAnsi="Arial"/>
                <w:sz w:val="14"/>
                <w:szCs w:val="14"/>
                <w:color w:val="auto"/>
              </w:rPr>
              <w:t>15</w:t>
            </w:r>
          </w:p>
        </w:tc>
        <w:tc>
          <w:tcPr>
            <w:tcW w:w="3340" w:type="dxa"/>
            <w:vAlign w:val="bottom"/>
          </w:tcPr>
          <w:p>
            <w:pPr>
              <w:ind w:left="20"/>
              <w:spacing w:after="0"/>
              <w:rPr>
                <w:sz w:val="20"/>
                <w:szCs w:val="20"/>
                <w:color w:val="auto"/>
              </w:rPr>
            </w:pPr>
            <w:r>
              <w:rPr>
                <w:rFonts w:ascii="Arial" w:cs="Arial" w:eastAsia="Arial" w:hAnsi="Arial"/>
                <w:sz w:val="14"/>
                <w:szCs w:val="14"/>
                <w:color w:val="auto"/>
              </w:rPr>
              <w:t>- 25 years from date of manufacture</w:t>
            </w:r>
          </w:p>
        </w:tc>
        <w:tc>
          <w:tcPr>
            <w:tcW w:w="3920" w:type="dxa"/>
            <w:vAlign w:val="bottom"/>
          </w:tcPr>
          <w:p>
            <w:pPr>
              <w:ind w:left="460"/>
              <w:spacing w:after="0"/>
              <w:rPr>
                <w:sz w:val="20"/>
                <w:szCs w:val="20"/>
                <w:color w:val="auto"/>
              </w:rPr>
            </w:pPr>
            <w:r>
              <w:rPr>
                <w:rFonts w:ascii="Arial" w:cs="Arial" w:eastAsia="Arial" w:hAnsi="Arial"/>
                <w:sz w:val="14"/>
                <w:szCs w:val="14"/>
                <w:color w:val="auto"/>
              </w:rPr>
              <w:t>Scrap value at end of useful life</w:t>
            </w:r>
          </w:p>
        </w:tc>
      </w:tr>
      <w:tr>
        <w:trPr>
          <w:trHeight w:val="207"/>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860" w:type="dxa"/>
            <w:vAlign w:val="bottom"/>
            <w:shd w:val="clear" w:color="auto" w:fill="CCEEFF"/>
          </w:tcPr>
          <w:p>
            <w:pPr>
              <w:ind w:left="760"/>
              <w:spacing w:after="0"/>
              <w:rPr>
                <w:sz w:val="20"/>
                <w:szCs w:val="20"/>
                <w:color w:val="auto"/>
              </w:rPr>
            </w:pPr>
            <w:r>
              <w:rPr>
                <w:rFonts w:ascii="Arial" w:cs="Arial" w:eastAsia="Arial" w:hAnsi="Arial"/>
                <w:sz w:val="14"/>
                <w:szCs w:val="14"/>
                <w:color w:val="auto"/>
              </w:rPr>
              <w:t>3</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None</w:t>
            </w:r>
          </w:p>
        </w:tc>
      </w:tr>
      <w:tr>
        <w:trPr>
          <w:trHeight w:val="198"/>
        </w:trPr>
        <w:tc>
          <w:tcPr>
            <w:tcW w:w="3040" w:type="dxa"/>
            <w:vAlign w:val="bottom"/>
          </w:tcPr>
          <w:p>
            <w:pPr>
              <w:ind w:left="20"/>
              <w:spacing w:after="0"/>
              <w:rPr>
                <w:sz w:val="20"/>
                <w:szCs w:val="20"/>
                <w:color w:val="auto"/>
              </w:rPr>
            </w:pPr>
            <w:r>
              <w:rPr>
                <w:rFonts w:ascii="Arial" w:cs="Arial" w:eastAsia="Arial" w:hAnsi="Arial"/>
                <w:sz w:val="14"/>
                <w:szCs w:val="14"/>
                <w:color w:val="auto"/>
              </w:rPr>
              <w:t>Computer hardware and software</w:t>
            </w:r>
          </w:p>
        </w:tc>
        <w:tc>
          <w:tcPr>
            <w:tcW w:w="860" w:type="dxa"/>
            <w:vAlign w:val="bottom"/>
          </w:tcPr>
          <w:p>
            <w:pPr>
              <w:ind w:left="760"/>
              <w:spacing w:after="0"/>
              <w:rPr>
                <w:sz w:val="20"/>
                <w:szCs w:val="20"/>
                <w:color w:val="auto"/>
              </w:rPr>
            </w:pPr>
            <w:r>
              <w:rPr>
                <w:rFonts w:ascii="Arial" w:cs="Arial" w:eastAsia="Arial" w:hAnsi="Arial"/>
                <w:sz w:val="14"/>
                <w:szCs w:val="14"/>
                <w:color w:val="auto"/>
              </w:rPr>
              <w:t>3</w:t>
            </w: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- 5 years from date of purchase</w:t>
            </w:r>
          </w:p>
        </w:tc>
        <w:tc>
          <w:tcPr>
            <w:tcW w:w="3920" w:type="dxa"/>
            <w:vAlign w:val="bottom"/>
          </w:tcPr>
          <w:p>
            <w:pPr>
              <w:ind w:left="460"/>
              <w:spacing w:after="0"/>
              <w:rPr>
                <w:sz w:val="20"/>
                <w:szCs w:val="20"/>
                <w:color w:val="auto"/>
              </w:rPr>
            </w:pPr>
            <w:r>
              <w:rPr>
                <w:rFonts w:ascii="Arial" w:cs="Arial" w:eastAsia="Arial" w:hAnsi="Arial"/>
                <w:sz w:val="14"/>
                <w:szCs w:val="14"/>
                <w:color w:val="auto"/>
              </w:rPr>
              <w:t>None</w:t>
            </w:r>
          </w:p>
        </w:tc>
      </w:tr>
      <w:tr>
        <w:trPr>
          <w:trHeight w:val="207"/>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428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N/A</w:t>
            </w:r>
          </w:p>
        </w:tc>
        <w:tc>
          <w:tcPr>
            <w:tcW w:w="3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N/A</w:t>
            </w:r>
          </w:p>
        </w:tc>
      </w:tr>
    </w:tbl>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b w:val="1"/>
          <w:bCs w:val="1"/>
          <w:color w:val="000000"/>
        </w:rPr>
        <w:t>—</w:t>
      </w:r>
      <w:r>
        <w:rPr>
          <w:rFonts w:ascii="Arial" w:cs="Arial" w:eastAsia="Arial" w:hAnsi="Arial"/>
          <w:sz w:val="16"/>
          <w:szCs w:val="16"/>
          <w:color w:val="000000"/>
        </w:rPr>
        <w:t>We perform a recoverability assessment of each of our long-lived assets whenever events or changes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circumstances, or indicators, indicate that the carrying amount or net book value of an asset may not be recoverable. Indicators may include, but are not limited to, a significant lease restructuring or early lease termination; a significant change in market conditions; or the introduction of newer technology. When performing a recoverability assessment, we measure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and estimated residual or scrap values. In the event that an asset does not meet the recoverability test, the carrying value of the asset will be adjusted to fair value resulting in an impairment charge.</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demand for a particular asset and historical experience,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20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b w:val="1"/>
          <w:bCs w:val="1"/>
          <w:color w:val="000000"/>
        </w:rPr>
        <w:t>—</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Transtar, FYX and Long Ridge Energy &amp; Power LLC. As of December 31, 2025, the carrying amount of goodwill within the Jefferson Terminal, Railroad, Corporate and Other and Power and Gas segments was $122.7 million, $147.2 million, $5.4 million and $90.3 million, respectively. As of December 31, 2024, the carrying amount of goodwill within the Jefferson Terminal, Railroad and Corporate and Other segments was $122.7 million, $147.2 million and $5.4 million,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5" w:name="page56"/>
    <w:bookmarkEnd w:id="55"/>
    <w:p>
      <w:pPr>
        <w:jc w:val="both"/>
        <w:spacing w:after="0" w:line="275"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goodwill impairment test is performed to identify potential goodwill impairment and measure an impairment loss.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that the carrying value of the reporting unit exceeds the fair value.</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October 1, 2025, we elected to complete a qualitative impairment assessment of the goodwill related to our Transtar, FYX and Long Ridge Energy &amp; Power LLC reporting units and concluded that it was more likely than not that the fair value of the Transtar, FYX and Long Ridge Energy &amp; Power LLC reporting units exceeded their respective carrying values. Therefore, no quantitative impairment evaluation was completed. As part of our assessment, we considered numerous factors, including:</w:t>
      </w:r>
    </w:p>
    <w:p>
      <w:pPr>
        <w:spacing w:after="0" w:line="78"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macroeconomic conditions and their potential impact on reporting unit fair value;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industry and market conditions;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 factors such as increases in raw materials, labor or other costs;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actual financial performance compared with budget and prior projections;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events that may change the composition or carrying value of its net assets.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our Jefferson Terminal reporting unit, we completed a quantitative analysis. We estimate the fair value of Jefferson Terminal using an income approach, specifically a discounted cash flow analysis. This analysis requires us to make significant assumptions and estimates about the forecasted revenue growth rates, capital expenditures and discount rates. The estimates and assumptions used consider historical performance if indicative of future performance and are consistent with the assumptions used in determining future profit plans for the reporting units.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connection with our impairment analysis, although we believe the estimates of fair value are reasonable, the determination of certain valuation inputs is subject to management's judgment. The fair value estimate was sensitive to significant assumptions inherent in the discounted estimated future cash flows, including forecasted revenue and revenue growth rates and discount rate. Changes in these inputs, including as a result of events beyond our control, could materially affect the results of the impairment review. If the forecasted cash flows or other key inputs are negatively revised in the future, the estimated fair value of the reporting unit could be adversely impacted, potentially leading to an impairment in the future that could materially affect our operating results. The Jefferson Terminal reporting unit had an estimated fair value that exceeded its carrying value by more than 20% as of October 1, 2025. The Jefferson Terminal reporting unit forecasted revenue is dependent on the ramp up of volumes under current and expected future contracts for storage and throughput of heavy and light crude and refined products, expansion of refined product distribution to Mexico, expansion of volumes and execution of contracts related to sustainable fuels and movements in future oil spreads. Our discount rate for our 2025 goodwill impairment analysis was 10.0% and our assumed terminal growth rate was 2.5%. If our strategy changes from planned capacity downward due to an inability to source contracts or expand volumes, the fair value of the reporting unit would be negatively affected, which could lead to an impairment. The expansion of refineries in the Beaumont/Port Arthur area, as well as growing crude oil and natural gas production in the U.S. and Canada, are expected to result in increased demand for storage on the U.S. Gulf Coast. Although we do not have significant direct exposure to volatility of crude oil prices, changes in crude oil pricing that affect long term refining planned output could impact Jefferson Terminal operations.</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expect the Jefferson Terminal reporting unit to continue to grow and generate positive Adjusted EBITDA in future years. Further delays in executing anticipated contracts or achieving our projected volumes could adversely affect the fair value of the reporting unit.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impairments of goodwill for the years ended December 31, 2025, 2024 and 2023.</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Income Taxes</w:t>
      </w:r>
      <w:r>
        <w:rPr>
          <w:rFonts w:ascii="Arial" w:cs="Arial" w:eastAsia="Arial" w:hAnsi="Arial"/>
          <w:sz w:val="16"/>
          <w:szCs w:val="16"/>
          <w:b w:val="1"/>
          <w:bCs w:val="1"/>
          <w:color w:val="000000"/>
        </w:rPr>
        <w:t>—</w:t>
      </w:r>
      <w:r>
        <w:rPr>
          <w:rFonts w:ascii="Arial" w:cs="Arial" w:eastAsia="Arial" w:hAnsi="Arial"/>
          <w:sz w:val="16"/>
          <w:szCs w:val="16"/>
          <w:color w:val="000000"/>
        </w:rPr>
        <w:t>Taxable income or loss generated by us and our corporate subsidiaries is subject to U.S. federal and state corporate income tax in locations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where they conduct business.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account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Some of our entities file income tax returns in the U.S. federal jurisdiction and various state jurisdictions. The income tax returns filed by us and our subsidiaries are subject to examination by the U.S. federal and state tax authorities. We recognize tax</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6"/>
          <w:szCs w:val="16"/>
          <w:color w:val="auto"/>
        </w:rPr>
        <w:t>benefits for uncertain tax positions only if it is more likely than not that the position is sustainable based on its technical merits. Interest and penalties on uncertain tax positions are included as a component of the provision for income taxes in the Consolidated Statements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Please see Note 2 to our consolidated financial statements included elsewhere in this filing for recent accounting pronouncements.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7A. Quantitative and Qualitative Disclosures About Market Risk</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Indices which are deemed “benchmarks” are the subject of recent national, international, and other regulatory guidance and proposals for reform. We are monitoring related reform proposals and evaluating the related risks; however, it is not possible to predict the effects of any of these developments, and any future initiatives to regulate, reform or change the manner of administration of benchmark indices could result in adverse consequences to the rate of interest payable and receivable on, market value of and market liquidity for financial instruments tied to variable interest rate indices.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Some of our borrowing agreements require payments based on a variable interest rate index, such as Secured Overnight Financing Rate.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It also does not include a variety of other potential factors that could affect our business as a result of changes in interest rates.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2025, assuming we do not hedge our exposure to interest rate fluctuations related to our outstanding floating rate debt, a hypothetical 100-basis point increase/decrease in our variable interest rate on our borrowings would result in an increase of approximately $12.9 million or a decrease of approximately $12.9 million in interest expense over the next 12 months.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8. Financial Statements and Supplementary Data</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Index to Financial Statements: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9300" w:type="dxa"/>
            <w:vAlign w:val="bottom"/>
          </w:tcPr>
          <w:p>
            <w:pPr>
              <w:spacing w:after="0"/>
              <w:rPr>
                <w:sz w:val="20"/>
                <w:szCs w:val="20"/>
                <w:color w:val="auto"/>
              </w:rPr>
            </w:pPr>
            <w:r>
              <w:rPr>
                <w:rFonts w:ascii="Arial" w:cs="Arial" w:eastAsia="Arial" w:hAnsi="Arial"/>
                <w:sz w:val="14"/>
                <w:szCs w:val="14"/>
                <w:b w:val="1"/>
                <w:bCs w:val="1"/>
                <w:color w:val="auto"/>
              </w:rPr>
              <w:t>Consolidated Financial Statements of FTAI Infrastructure Inc.:</w:t>
            </w:r>
          </w:p>
        </w:tc>
        <w:tc>
          <w:tcPr>
            <w:tcW w:w="1640" w:type="dxa"/>
            <w:vAlign w:val="bottom"/>
          </w:tcPr>
          <w:p>
            <w:pPr>
              <w:spacing w:after="0"/>
              <w:rPr>
                <w:sz w:val="17"/>
                <w:szCs w:val="17"/>
                <w:color w:val="auto"/>
              </w:rPr>
            </w:pPr>
          </w:p>
        </w:tc>
      </w:tr>
      <w:tr>
        <w:trPr>
          <w:trHeight w:val="196"/>
        </w:trPr>
        <w:tc>
          <w:tcPr>
            <w:tcW w:w="9300" w:type="dxa"/>
            <w:vAlign w:val="bottom"/>
          </w:tcPr>
          <w:p>
            <w:pPr>
              <w:ind w:left="420"/>
              <w:spacing w:after="0"/>
              <w:rPr>
                <w:sz w:val="20"/>
                <w:szCs w:val="20"/>
                <w:color w:val="auto"/>
              </w:rPr>
            </w:pPr>
            <w:r>
              <w:rPr>
                <w:rFonts w:ascii="Arial" w:cs="Arial" w:eastAsia="Arial" w:hAnsi="Arial"/>
                <w:sz w:val="14"/>
                <w:szCs w:val="14"/>
                <w:color w:val="0E32E1"/>
              </w:rPr>
              <w:t>Report of Independent Registered Public Accounting Firm (PCAOB ID: 42)</w:t>
            </w:r>
          </w:p>
        </w:tc>
        <w:tc>
          <w:tcPr>
            <w:tcW w:w="1640" w:type="dxa"/>
            <w:vAlign w:val="bottom"/>
          </w:tcPr>
          <w:p>
            <w:pPr>
              <w:jc w:val="right"/>
              <w:spacing w:after="0"/>
              <w:rPr>
                <w:sz w:val="20"/>
                <w:szCs w:val="20"/>
                <w:color w:val="auto"/>
              </w:rPr>
            </w:pPr>
            <w:r>
              <w:rPr>
                <w:rFonts w:ascii="Arial" w:cs="Arial" w:eastAsia="Arial" w:hAnsi="Arial"/>
                <w:sz w:val="14"/>
                <w:szCs w:val="14"/>
                <w:color w:val="0E32E1"/>
              </w:rPr>
              <w:t>58</w:t>
            </w:r>
          </w:p>
        </w:tc>
      </w:tr>
      <w:tr>
        <w:trPr>
          <w:trHeight w:val="203"/>
        </w:trPr>
        <w:tc>
          <w:tcPr>
            <w:tcW w:w="9300" w:type="dxa"/>
            <w:vAlign w:val="bottom"/>
          </w:tcPr>
          <w:p>
            <w:pPr>
              <w:ind w:left="420"/>
              <w:spacing w:after="0"/>
              <w:rPr>
                <w:sz w:val="20"/>
                <w:szCs w:val="20"/>
                <w:color w:val="auto"/>
              </w:rPr>
            </w:pPr>
            <w:r>
              <w:rPr>
                <w:rFonts w:ascii="Arial" w:cs="Arial" w:eastAsia="Arial" w:hAnsi="Arial"/>
                <w:sz w:val="14"/>
                <w:szCs w:val="14"/>
                <w:color w:val="0E32E1"/>
              </w:rPr>
              <w:t>Consolidated Balance Sheets as of December 31, 2025 and 2024</w:t>
            </w:r>
          </w:p>
        </w:tc>
        <w:tc>
          <w:tcPr>
            <w:tcW w:w="1640" w:type="dxa"/>
            <w:vAlign w:val="bottom"/>
          </w:tcPr>
          <w:p>
            <w:pPr>
              <w:jc w:val="right"/>
              <w:spacing w:after="0"/>
              <w:rPr>
                <w:sz w:val="20"/>
                <w:szCs w:val="20"/>
                <w:color w:val="auto"/>
              </w:rPr>
            </w:pPr>
            <w:r>
              <w:rPr>
                <w:rFonts w:ascii="Arial" w:cs="Arial" w:eastAsia="Arial" w:hAnsi="Arial"/>
                <w:sz w:val="14"/>
                <w:szCs w:val="14"/>
                <w:color w:val="0E32E1"/>
              </w:rPr>
              <w:t>61</w:t>
            </w:r>
          </w:p>
        </w:tc>
      </w:tr>
      <w:tr>
        <w:trPr>
          <w:trHeight w:val="203"/>
        </w:trPr>
        <w:tc>
          <w:tcPr>
            <w:tcW w:w="9300" w:type="dxa"/>
            <w:vAlign w:val="bottom"/>
          </w:tcPr>
          <w:p>
            <w:pPr>
              <w:ind w:left="420"/>
              <w:spacing w:after="0"/>
              <w:rPr>
                <w:sz w:val="20"/>
                <w:szCs w:val="20"/>
                <w:color w:val="auto"/>
              </w:rPr>
            </w:pPr>
            <w:r>
              <w:rPr>
                <w:rFonts w:ascii="Arial" w:cs="Arial" w:eastAsia="Arial" w:hAnsi="Arial"/>
                <w:sz w:val="14"/>
                <w:szCs w:val="14"/>
                <w:color w:val="0E32E1"/>
              </w:rPr>
              <w:t>Consolidated Statements of Operations for the years ended December 31, 2025, 2024 and 2023</w:t>
            </w:r>
          </w:p>
        </w:tc>
        <w:tc>
          <w:tcPr>
            <w:tcW w:w="1640" w:type="dxa"/>
            <w:vAlign w:val="bottom"/>
          </w:tcPr>
          <w:p>
            <w:pPr>
              <w:jc w:val="right"/>
              <w:spacing w:after="0"/>
              <w:rPr>
                <w:sz w:val="20"/>
                <w:szCs w:val="20"/>
                <w:color w:val="auto"/>
              </w:rPr>
            </w:pPr>
            <w:r>
              <w:rPr>
                <w:rFonts w:ascii="Arial" w:cs="Arial" w:eastAsia="Arial" w:hAnsi="Arial"/>
                <w:sz w:val="14"/>
                <w:szCs w:val="14"/>
                <w:color w:val="0E32E1"/>
              </w:rPr>
              <w:t>63</w:t>
            </w:r>
          </w:p>
        </w:tc>
      </w:tr>
      <w:tr>
        <w:trPr>
          <w:trHeight w:val="203"/>
        </w:trPr>
        <w:tc>
          <w:tcPr>
            <w:tcW w:w="9300" w:type="dxa"/>
            <w:vAlign w:val="bottom"/>
          </w:tcPr>
          <w:p>
            <w:pPr>
              <w:ind w:left="420"/>
              <w:spacing w:after="0"/>
              <w:rPr>
                <w:sz w:val="20"/>
                <w:szCs w:val="20"/>
                <w:color w:val="auto"/>
              </w:rPr>
            </w:pPr>
            <w:r>
              <w:rPr>
                <w:rFonts w:ascii="Arial" w:cs="Arial" w:eastAsia="Arial" w:hAnsi="Arial"/>
                <w:sz w:val="14"/>
                <w:szCs w:val="14"/>
                <w:color w:val="0E32E1"/>
              </w:rPr>
              <w:t>Consolidated Statements of Comprehensive (Loss) Income for the years ended December 31, 2025, 2024 and 2023</w:t>
            </w:r>
          </w:p>
        </w:tc>
        <w:tc>
          <w:tcPr>
            <w:tcW w:w="1640" w:type="dxa"/>
            <w:vAlign w:val="bottom"/>
          </w:tcPr>
          <w:p>
            <w:pPr>
              <w:jc w:val="right"/>
              <w:spacing w:after="0"/>
              <w:rPr>
                <w:sz w:val="20"/>
                <w:szCs w:val="20"/>
                <w:color w:val="auto"/>
              </w:rPr>
            </w:pPr>
            <w:r>
              <w:rPr>
                <w:rFonts w:ascii="Arial" w:cs="Arial" w:eastAsia="Arial" w:hAnsi="Arial"/>
                <w:sz w:val="14"/>
                <w:szCs w:val="14"/>
                <w:color w:val="0E32E1"/>
              </w:rPr>
              <w:t>64</w:t>
            </w:r>
          </w:p>
        </w:tc>
      </w:tr>
      <w:tr>
        <w:trPr>
          <w:trHeight w:val="203"/>
        </w:trPr>
        <w:tc>
          <w:tcPr>
            <w:tcW w:w="9300" w:type="dxa"/>
            <w:vAlign w:val="bottom"/>
          </w:tcPr>
          <w:p>
            <w:pPr>
              <w:ind w:left="420"/>
              <w:spacing w:after="0"/>
              <w:rPr>
                <w:sz w:val="20"/>
                <w:szCs w:val="20"/>
                <w:color w:val="auto"/>
              </w:rPr>
            </w:pPr>
            <w:r>
              <w:rPr>
                <w:rFonts w:ascii="Arial" w:cs="Arial" w:eastAsia="Arial" w:hAnsi="Arial"/>
                <w:sz w:val="14"/>
                <w:szCs w:val="14"/>
                <w:color w:val="0E32E1"/>
              </w:rPr>
              <w:t>Consolidated Statement of Changes in Equity for the years ended December 31, 2025, 2024 and 2023</w:t>
            </w:r>
          </w:p>
        </w:tc>
        <w:tc>
          <w:tcPr>
            <w:tcW w:w="1640" w:type="dxa"/>
            <w:vAlign w:val="bottom"/>
          </w:tcPr>
          <w:p>
            <w:pPr>
              <w:jc w:val="right"/>
              <w:spacing w:after="0"/>
              <w:rPr>
                <w:sz w:val="20"/>
                <w:szCs w:val="20"/>
                <w:color w:val="auto"/>
              </w:rPr>
            </w:pPr>
            <w:r>
              <w:rPr>
                <w:rFonts w:ascii="Arial" w:cs="Arial" w:eastAsia="Arial" w:hAnsi="Arial"/>
                <w:sz w:val="14"/>
                <w:szCs w:val="14"/>
                <w:color w:val="0E32E1"/>
              </w:rPr>
              <w:t>65</w:t>
            </w:r>
          </w:p>
        </w:tc>
      </w:tr>
      <w:tr>
        <w:trPr>
          <w:trHeight w:val="203"/>
        </w:trPr>
        <w:tc>
          <w:tcPr>
            <w:tcW w:w="9300" w:type="dxa"/>
            <w:vAlign w:val="bottom"/>
          </w:tcPr>
          <w:p>
            <w:pPr>
              <w:ind w:left="420"/>
              <w:spacing w:after="0"/>
              <w:rPr>
                <w:sz w:val="20"/>
                <w:szCs w:val="20"/>
                <w:color w:val="auto"/>
              </w:rPr>
            </w:pPr>
            <w:r>
              <w:rPr>
                <w:rFonts w:ascii="Arial" w:cs="Arial" w:eastAsia="Arial" w:hAnsi="Arial"/>
                <w:sz w:val="14"/>
                <w:szCs w:val="14"/>
                <w:color w:val="0E32E1"/>
              </w:rPr>
              <w:t>Consolidated Statements of Cash Flows for the years ended December 31, 2025, 2024 and 2023</w:t>
            </w:r>
          </w:p>
        </w:tc>
        <w:tc>
          <w:tcPr>
            <w:tcW w:w="1640" w:type="dxa"/>
            <w:vAlign w:val="bottom"/>
          </w:tcPr>
          <w:p>
            <w:pPr>
              <w:jc w:val="right"/>
              <w:spacing w:after="0"/>
              <w:rPr>
                <w:sz w:val="20"/>
                <w:szCs w:val="20"/>
                <w:color w:val="auto"/>
              </w:rPr>
            </w:pPr>
            <w:r>
              <w:rPr>
                <w:rFonts w:ascii="Arial" w:cs="Arial" w:eastAsia="Arial" w:hAnsi="Arial"/>
                <w:sz w:val="14"/>
                <w:szCs w:val="14"/>
                <w:color w:val="0E32E1"/>
              </w:rPr>
              <w:t>66</w:t>
            </w:r>
          </w:p>
        </w:tc>
      </w:tr>
      <w:tr>
        <w:trPr>
          <w:trHeight w:val="203"/>
        </w:trPr>
        <w:tc>
          <w:tcPr>
            <w:tcW w:w="9300" w:type="dxa"/>
            <w:vAlign w:val="bottom"/>
          </w:tcPr>
          <w:p>
            <w:pPr>
              <w:ind w:left="420"/>
              <w:spacing w:after="0"/>
              <w:rPr>
                <w:sz w:val="20"/>
                <w:szCs w:val="20"/>
                <w:color w:val="auto"/>
              </w:rPr>
            </w:pPr>
            <w:r>
              <w:rPr>
                <w:rFonts w:ascii="Arial" w:cs="Arial" w:eastAsia="Arial" w:hAnsi="Arial"/>
                <w:sz w:val="14"/>
                <w:szCs w:val="14"/>
                <w:color w:val="0E32E1"/>
              </w:rPr>
              <w:t>Notes to Consolidated Financial Statements</w:t>
            </w:r>
          </w:p>
        </w:tc>
        <w:tc>
          <w:tcPr>
            <w:tcW w:w="1640" w:type="dxa"/>
            <w:vAlign w:val="bottom"/>
          </w:tcPr>
          <w:p>
            <w:pPr>
              <w:jc w:val="right"/>
              <w:spacing w:after="0"/>
              <w:rPr>
                <w:sz w:val="20"/>
                <w:szCs w:val="20"/>
                <w:color w:val="auto"/>
              </w:rPr>
            </w:pPr>
            <w:r>
              <w:rPr>
                <w:rFonts w:ascii="Arial" w:cs="Arial" w:eastAsia="Arial" w:hAnsi="Arial"/>
                <w:sz w:val="14"/>
                <w:szCs w:val="14"/>
                <w:color w:val="0E32E1"/>
              </w:rPr>
              <w:t>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7" w:name="page58"/>
    <w:bookmarkEnd w:id="57"/>
    <w:p>
      <w:pPr>
        <w:ind w:left="35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FTAI Infrastructure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audited the accompanying consolidated balance sheets of FTAI Infrastructure Inc. (the Company) as of December 31, 2025 and 2024, the related consolidated statements of operations, comprehensive (loss) income, changes in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8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16, 2026 expressed an unqualified opinion thereon.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PCAOB.</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8" w:name="page59"/>
    <w:bookmarkEnd w:id="58"/>
    <w:p>
      <w:pPr>
        <w:ind w:left="1580"/>
        <w:spacing w:after="0"/>
        <w:rPr>
          <w:sz w:val="20"/>
          <w:szCs w:val="20"/>
          <w:color w:val="auto"/>
        </w:rPr>
      </w:pPr>
      <w:r>
        <w:rPr>
          <w:rFonts w:ascii="Arial" w:cs="Arial" w:eastAsia="Arial" w:hAnsi="Arial"/>
          <w:sz w:val="16"/>
          <w:szCs w:val="16"/>
          <w:b w:val="1"/>
          <w:bCs w:val="1"/>
          <w:i w:val="1"/>
          <w:iCs w:val="1"/>
          <w:color w:val="auto"/>
        </w:rPr>
        <w:t>Valuation of Goodwill - Jefferson Terminal Reporting Unit</w:t>
      </w:r>
    </w:p>
    <w:p>
      <w:pPr>
        <w:sectPr>
          <w:pgSz w:w="11900" w:h="16838" w:orient="portrait"/>
          <w:cols w:equalWidth="0" w:num="1">
            <w:col w:w="11200"/>
          </w:cols>
          <w:pgMar w:left="340" w:top="1194" w:right="359" w:bottom="1440" w:gutter="0" w:footer="0" w:header="0"/>
        </w:sectPr>
      </w:pPr>
    </w:p>
    <w:p>
      <w:pPr>
        <w:spacing w:after="0" w:line="46" w:lineRule="exact"/>
        <w:rPr>
          <w:sz w:val="20"/>
          <w:szCs w:val="20"/>
          <w:color w:val="auto"/>
        </w:rPr>
      </w:pPr>
    </w:p>
    <w:p>
      <w:pPr>
        <w:spacing w:after="0" w:line="266" w:lineRule="auto"/>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At December 31, 2025, the Company’s goodwill was $122.7 million for the Jefferson Terminal reporting unit. As discussed in Note 2 of the consolidated financial statements, goodwill is tested for impairment at least annually at the reporting unit level.</w:t>
      </w:r>
    </w:p>
    <w:p>
      <w:pPr>
        <w:spacing w:after="0" w:line="197" w:lineRule="exact"/>
        <w:rPr>
          <w:sz w:val="20"/>
          <w:szCs w:val="20"/>
          <w:color w:val="auto"/>
        </w:rPr>
      </w:pPr>
    </w:p>
    <w:p>
      <w:pPr>
        <w:sectPr>
          <w:pgSz w:w="11900" w:h="16838" w:orient="portrait"/>
          <w:cols w:equalWidth="0" w:num="2">
            <w:col w:w="1260" w:space="320"/>
            <w:col w:w="9620"/>
          </w:cols>
          <w:pgMar w:left="340" w:top="1194" w:right="359" w:bottom="1440" w:gutter="0" w:footer="0" w:header="0"/>
          <w:type w:val="continuous"/>
        </w:sectPr>
      </w:pPr>
    </w:p>
    <w:p>
      <w:pPr>
        <w:ind w:left="1580"/>
        <w:spacing w:after="0" w:line="248" w:lineRule="auto"/>
        <w:rPr>
          <w:sz w:val="20"/>
          <w:szCs w:val="20"/>
          <w:color w:val="auto"/>
        </w:rPr>
      </w:pPr>
      <w:r>
        <w:rPr>
          <w:rFonts w:ascii="Arial" w:cs="Arial" w:eastAsia="Arial" w:hAnsi="Arial"/>
          <w:sz w:val="16"/>
          <w:szCs w:val="16"/>
          <w:color w:val="auto"/>
        </w:rPr>
        <w:t>Auditing management’s annual goodwill impairment assessment was complex and highly judgmental due to the significant estimation required in determining the fair value of the Jefferson Terminal reporting unit. In particular, the fair value estimate was sensitive to</w:t>
      </w:r>
    </w:p>
    <w:p>
      <w:pPr>
        <w:ind w:left="1580"/>
        <w:spacing w:after="0" w:line="237" w:lineRule="auto"/>
        <w:rPr>
          <w:sz w:val="20"/>
          <w:szCs w:val="20"/>
          <w:color w:val="auto"/>
        </w:rPr>
      </w:pPr>
      <w:r>
        <w:rPr>
          <w:rFonts w:ascii="Arial" w:cs="Arial" w:eastAsia="Arial" w:hAnsi="Arial"/>
          <w:sz w:val="16"/>
          <w:szCs w:val="16"/>
          <w:color w:val="auto"/>
        </w:rPr>
        <w:t>significant assumptions inherent in the discounted estimated future cash flows, including forecasted revenue and revenue growth rates, and discount rate, which are affected by expectations about the Company’s ability to secure new contracts and increase</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volumes from existing contracts as well as expectations about the overall industry, market and economic conditions.</w:t>
      </w:r>
    </w:p>
    <w:p>
      <w:pPr>
        <w:sectPr>
          <w:pgSz w:w="11900" w:h="16838" w:orient="portrait"/>
          <w:cols w:equalWidth="0" w:num="1">
            <w:col w:w="11200"/>
          </w:cols>
          <w:pgMar w:left="340" w:top="1194" w:right="359" w:bottom="1440" w:gutter="0" w:footer="0" w:header="0"/>
          <w:type w:val="continuous"/>
        </w:sectPr>
      </w:pPr>
    </w:p>
    <w:p>
      <w:pPr>
        <w:spacing w:after="0" w:line="30"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 xml:space="preserve">How We Addressed </w:t>
      </w:r>
      <w:r>
        <w:rPr>
          <w:rFonts w:ascii="Arial" w:cs="Arial" w:eastAsia="Arial" w:hAnsi="Arial"/>
          <w:sz w:val="16"/>
          <w:szCs w:val="16"/>
          <w:color w:val="auto"/>
        </w:rPr>
        <w:t>We obtained an understanding, evaluated the design, and tested the operating effectiveness of controls over the Company’s goodwill</w:t>
      </w:r>
      <w:r>
        <w:rPr>
          <w:rFonts w:ascii="Arial" w:cs="Arial" w:eastAsia="Arial" w:hAnsi="Arial"/>
          <w:sz w:val="16"/>
          <w:szCs w:val="16"/>
          <w:i w:val="1"/>
          <w:iCs w:val="1"/>
          <w:color w:val="auto"/>
        </w:rPr>
        <w:t xml:space="preserve"> the Matter in Our </w:t>
      </w:r>
      <w:r>
        <w:rPr>
          <w:rFonts w:ascii="Arial" w:cs="Arial" w:eastAsia="Arial" w:hAnsi="Arial"/>
          <w:sz w:val="16"/>
          <w:szCs w:val="16"/>
          <w:color w:val="auto"/>
        </w:rPr>
        <w:t>impairment review process, including controls over management’s review of the significant assumptions described above.</w:t>
      </w:r>
    </w:p>
    <w:p>
      <w:pPr>
        <w:spacing w:after="0"/>
        <w:rPr>
          <w:sz w:val="20"/>
          <w:szCs w:val="20"/>
          <w:color w:val="auto"/>
        </w:rPr>
      </w:pPr>
      <w:r>
        <w:rPr>
          <w:rFonts w:ascii="Arial" w:cs="Arial" w:eastAsia="Arial" w:hAnsi="Arial"/>
          <w:sz w:val="16"/>
          <w:szCs w:val="16"/>
          <w:i w:val="1"/>
          <w:iCs w:val="1"/>
          <w:color w:val="auto"/>
        </w:rPr>
        <w:t>Audit</w:t>
      </w:r>
    </w:p>
    <w:p>
      <w:pPr>
        <w:spacing w:after="0" w:line="43" w:lineRule="exact"/>
        <w:rPr>
          <w:sz w:val="20"/>
          <w:szCs w:val="20"/>
          <w:color w:val="auto"/>
        </w:rPr>
      </w:pPr>
    </w:p>
    <w:p>
      <w:pPr>
        <w:ind w:left="1580"/>
        <w:spacing w:after="0" w:line="248" w:lineRule="auto"/>
        <w:rPr>
          <w:sz w:val="20"/>
          <w:szCs w:val="20"/>
          <w:color w:val="auto"/>
        </w:rPr>
      </w:pPr>
      <w:r>
        <w:rPr>
          <w:rFonts w:ascii="Arial" w:cs="Arial" w:eastAsia="Arial" w:hAnsi="Arial"/>
          <w:sz w:val="16"/>
          <w:szCs w:val="16"/>
          <w:color w:val="auto"/>
        </w:rPr>
        <w:t>To test the estimated fair value of the Company’s Jefferson Terminal reporting unit, we performed audit procedures that included, among others, assessing the valuation methodology used and testing the significant assumptions, described above, and the</w:t>
      </w:r>
    </w:p>
    <w:p>
      <w:pPr>
        <w:ind w:left="1580"/>
        <w:spacing w:after="0" w:line="237" w:lineRule="auto"/>
        <w:rPr>
          <w:sz w:val="20"/>
          <w:szCs w:val="20"/>
          <w:color w:val="auto"/>
        </w:rPr>
      </w:pPr>
      <w:r>
        <w:rPr>
          <w:rFonts w:ascii="Arial" w:cs="Arial" w:eastAsia="Arial" w:hAnsi="Arial"/>
          <w:sz w:val="16"/>
          <w:szCs w:val="16"/>
          <w:color w:val="auto"/>
        </w:rPr>
        <w:t>completeness and accuracy of the underlying data used by the Company in its impairment test. For example, we compared forecasted revenue and revenue growth rates used by management to current industry, market and economic trends and to the historical results</w:t>
      </w:r>
    </w:p>
    <w:p>
      <w:pPr>
        <w:spacing w:after="0" w:line="1" w:lineRule="exact"/>
        <w:rPr>
          <w:sz w:val="20"/>
          <w:szCs w:val="20"/>
          <w:color w:val="auto"/>
        </w:rPr>
      </w:pPr>
    </w:p>
    <w:p>
      <w:pPr>
        <w:ind w:left="1580"/>
        <w:spacing w:after="0" w:line="237" w:lineRule="auto"/>
        <w:rPr>
          <w:sz w:val="20"/>
          <w:szCs w:val="20"/>
          <w:color w:val="auto"/>
        </w:rPr>
      </w:pPr>
      <w:r>
        <w:rPr>
          <w:rFonts w:ascii="Arial" w:cs="Arial" w:eastAsia="Arial" w:hAnsi="Arial"/>
          <w:sz w:val="16"/>
          <w:szCs w:val="16"/>
          <w:color w:val="auto"/>
        </w:rPr>
        <w:t>of the reporting unit and other guideline companies within the same industry. We also assessed the historical accuracy of management’s estimates and performed sensitivity analyses to evaluate the changes in the fair value of the Jefferson Terminal</w:t>
      </w:r>
    </w:p>
    <w:p>
      <w:pPr>
        <w:spacing w:after="0" w:line="1" w:lineRule="exact"/>
        <w:rPr>
          <w:sz w:val="20"/>
          <w:szCs w:val="20"/>
          <w:color w:val="auto"/>
        </w:rPr>
      </w:pPr>
    </w:p>
    <w:p>
      <w:pPr>
        <w:ind w:left="1580"/>
        <w:spacing w:after="0" w:line="248" w:lineRule="auto"/>
        <w:rPr>
          <w:sz w:val="20"/>
          <w:szCs w:val="20"/>
          <w:color w:val="auto"/>
        </w:rPr>
      </w:pPr>
      <w:r>
        <w:rPr>
          <w:rFonts w:ascii="Arial" w:cs="Arial" w:eastAsia="Arial" w:hAnsi="Arial"/>
          <w:sz w:val="16"/>
          <w:szCs w:val="16"/>
          <w:color w:val="auto"/>
        </w:rPr>
        <w:t>reporting unit that would result from changes in the significant assumptions. We also involved our internal valuation specialists to assist in our evaluation of the Company's valuation methodology and certain significant assumptions, including the discount rate.</w:t>
      </w:r>
    </w:p>
    <w:p>
      <w:pPr>
        <w:spacing w:after="0" w:line="11" w:lineRule="exact"/>
        <w:rPr>
          <w:sz w:val="20"/>
          <w:szCs w:val="20"/>
          <w:color w:val="auto"/>
        </w:rPr>
      </w:pPr>
    </w:p>
    <w:p>
      <w:pPr>
        <w:ind w:left="1580"/>
        <w:spacing w:after="0"/>
        <w:rPr>
          <w:sz w:val="20"/>
          <w:szCs w:val="20"/>
          <w:color w:val="auto"/>
        </w:rPr>
      </w:pPr>
      <w:r>
        <w:rPr>
          <w:rFonts w:ascii="Arial" w:cs="Arial" w:eastAsia="Arial" w:hAnsi="Arial"/>
          <w:sz w:val="16"/>
          <w:szCs w:val="16"/>
          <w:b w:val="1"/>
          <w:bCs w:val="1"/>
          <w:i w:val="1"/>
          <w:iCs w:val="1"/>
          <w:color w:val="auto"/>
        </w:rPr>
        <w:t>Acquisition of Long Ridge Energy &amp; Power LLC</w:t>
      </w:r>
    </w:p>
    <w:p>
      <w:pPr>
        <w:sectPr>
          <w:pgSz w:w="11900" w:h="16838" w:orient="portrait"/>
          <w:cols w:equalWidth="0" w:num="1">
            <w:col w:w="11200"/>
          </w:cols>
          <w:pgMar w:left="340" w:top="1194" w:right="359" w:bottom="1440" w:gutter="0" w:footer="0" w:header="0"/>
          <w:type w:val="continuous"/>
        </w:sectPr>
      </w:pP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As discussed in Notes 3 and 9 to the consolidated financial statements, on February 26, 2025, the Company acquired control of Long Ridge Energy &amp; Power (“Long Ridge”). Prior to obtaining control of Long Ridge, the Company accounted for its investment in Long</w:t>
      </w:r>
    </w:p>
    <w:p>
      <w:pPr>
        <w:spacing w:after="0" w:line="1" w:lineRule="exact"/>
        <w:rPr>
          <w:sz w:val="20"/>
          <w:szCs w:val="20"/>
          <w:color w:val="auto"/>
        </w:rPr>
      </w:pPr>
    </w:p>
    <w:p>
      <w:pPr>
        <w:sectPr>
          <w:pgSz w:w="11900" w:h="16838" w:orient="portrait"/>
          <w:cols w:equalWidth="0" w:num="2">
            <w:col w:w="1260" w:space="320"/>
            <w:col w:w="9620"/>
          </w:cols>
          <w:pgMar w:left="340" w:top="1194" w:right="359" w:bottom="1440" w:gutter="0" w:footer="0" w:header="0"/>
          <w:type w:val="continuous"/>
        </w:sectPr>
      </w:pPr>
    </w:p>
    <w:p>
      <w:pPr>
        <w:ind w:left="1580"/>
        <w:spacing w:after="0"/>
        <w:rPr>
          <w:sz w:val="20"/>
          <w:szCs w:val="20"/>
          <w:color w:val="auto"/>
        </w:rPr>
      </w:pPr>
      <w:r>
        <w:rPr>
          <w:rFonts w:ascii="Arial" w:cs="Arial" w:eastAsia="Arial" w:hAnsi="Arial"/>
          <w:sz w:val="16"/>
          <w:szCs w:val="16"/>
          <w:color w:val="auto"/>
        </w:rPr>
        <w:t>Ridge under the equity method. The transaction was accounted for as a step acquisition as defined by ASC 805.</w:t>
      </w:r>
    </w:p>
    <w:p>
      <w:pPr>
        <w:spacing w:after="0" w:line="141"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Auditing the Company’s accounting for the acquisition was complex due to significant estimation uncertainty in determining the fair</w:t>
      </w:r>
    </w:p>
    <w:p>
      <w:pPr>
        <w:spacing w:after="0" w:line="21" w:lineRule="exact"/>
        <w:rPr>
          <w:sz w:val="20"/>
          <w:szCs w:val="20"/>
          <w:color w:val="auto"/>
        </w:rPr>
      </w:pPr>
    </w:p>
    <w:p>
      <w:pPr>
        <w:jc w:val="both"/>
        <w:ind w:left="1580"/>
        <w:spacing w:after="0" w:line="248" w:lineRule="auto"/>
        <w:rPr>
          <w:sz w:val="20"/>
          <w:szCs w:val="20"/>
          <w:color w:val="auto"/>
        </w:rPr>
      </w:pPr>
      <w:r>
        <w:rPr>
          <w:rFonts w:ascii="Arial" w:cs="Arial" w:eastAsia="Arial" w:hAnsi="Arial"/>
          <w:sz w:val="16"/>
          <w:szCs w:val="16"/>
          <w:color w:val="auto"/>
        </w:rPr>
        <w:t>value of the acquired proved developed and unproved gas properties, as well as the power generation plant. The Company used the income approach to estimate the fair value of the assets noted above. Key assumptions included forecasted revenue growth rates,</w:t>
      </w:r>
    </w:p>
    <w:p>
      <w:pPr>
        <w:spacing w:after="0" w:line="144" w:lineRule="exact"/>
        <w:rPr>
          <w:sz w:val="20"/>
          <w:szCs w:val="20"/>
          <w:color w:val="auto"/>
        </w:rPr>
      </w:pPr>
    </w:p>
    <w:p>
      <w:pPr>
        <w:ind w:left="1580"/>
        <w:spacing w:after="0" w:line="272" w:lineRule="auto"/>
        <w:rPr>
          <w:sz w:val="20"/>
          <w:szCs w:val="20"/>
          <w:color w:val="auto"/>
        </w:rPr>
      </w:pPr>
      <w:r>
        <w:rPr>
          <w:rFonts w:ascii="Arial" w:cs="Arial" w:eastAsia="Arial" w:hAnsi="Arial"/>
          <w:sz w:val="16"/>
          <w:szCs w:val="16"/>
          <w:color w:val="auto"/>
        </w:rPr>
        <w:t>conditions, actual production volume, regulatory changes, and commodity price volatility. These significant assumptions are forward-looking and could be affected by future economic and market conditions.</w:t>
      </w:r>
    </w:p>
    <w:p>
      <w:pPr>
        <w:sectPr>
          <w:pgSz w:w="11900" w:h="16838" w:orient="portrait"/>
          <w:cols w:equalWidth="0" w:num="1">
            <w:col w:w="11200"/>
          </w:cols>
          <w:pgMar w:left="340" w:top="1194" w:right="359" w:bottom="1440" w:gutter="0" w:footer="0" w:header="0"/>
          <w:type w:val="continuous"/>
        </w:sectPr>
      </w:pP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 xml:space="preserve">How We Addressed </w:t>
      </w:r>
      <w:r>
        <w:rPr>
          <w:rFonts w:ascii="Arial" w:cs="Arial" w:eastAsia="Arial" w:hAnsi="Arial"/>
          <w:sz w:val="16"/>
          <w:szCs w:val="16"/>
          <w:color w:val="auto"/>
        </w:rPr>
        <w:t>We obtained an understanding, evaluated the design, and tested the operating effectiveness of controls over the Company’s business</w:t>
      </w:r>
      <w:r>
        <w:rPr>
          <w:rFonts w:ascii="Arial" w:cs="Arial" w:eastAsia="Arial" w:hAnsi="Arial"/>
          <w:sz w:val="16"/>
          <w:szCs w:val="16"/>
          <w:i w:val="1"/>
          <w:iCs w:val="1"/>
          <w:color w:val="auto"/>
        </w:rPr>
        <w:t xml:space="preserve"> the Matter in Our </w:t>
      </w:r>
      <w:r>
        <w:rPr>
          <w:rFonts w:ascii="Arial" w:cs="Arial" w:eastAsia="Arial" w:hAnsi="Arial"/>
          <w:sz w:val="16"/>
          <w:szCs w:val="16"/>
          <w:color w:val="auto"/>
        </w:rPr>
        <w:t>combination process, including controls over management’s review of the significant assumptions described above.</w:t>
      </w:r>
    </w:p>
    <w:p>
      <w:pPr>
        <w:spacing w:after="0" w:line="229" w:lineRule="auto"/>
        <w:rPr>
          <w:sz w:val="20"/>
          <w:szCs w:val="20"/>
          <w:color w:val="auto"/>
        </w:rPr>
      </w:pPr>
      <w:r>
        <w:rPr>
          <w:rFonts w:ascii="Arial" w:cs="Arial" w:eastAsia="Arial" w:hAnsi="Arial"/>
          <w:sz w:val="16"/>
          <w:szCs w:val="16"/>
          <w:i w:val="1"/>
          <w:iCs w:val="1"/>
          <w:color w:val="auto"/>
        </w:rPr>
        <w:t>Audit</w:t>
      </w:r>
    </w:p>
    <w:p>
      <w:pPr>
        <w:jc w:val="both"/>
        <w:ind w:left="1580"/>
        <w:spacing w:after="0" w:line="239" w:lineRule="auto"/>
        <w:rPr>
          <w:sz w:val="20"/>
          <w:szCs w:val="20"/>
          <w:color w:val="auto"/>
        </w:rPr>
      </w:pPr>
      <w:r>
        <w:rPr>
          <w:rFonts w:ascii="Arial" w:cs="Arial" w:eastAsia="Arial" w:hAnsi="Arial"/>
          <w:sz w:val="16"/>
          <w:szCs w:val="16"/>
          <w:color w:val="auto"/>
        </w:rPr>
        <w:t>To test the estimated fair values, we performed audit procedures that included, among others, involving our valuation specialists to assist in evaluating the appropriateness of the Company’s valuation methodology and certain significant assumptions used in the model, such as the discount rates, as well as assessing the completeness and accuracy of the underlying data. We compared certain significant assumptions, including the forecasted revenue growth rates, projected capacity factors and projected net gas production, to current industry, market, and economic trends, to the historical results of the acquired business and to other guidelines companies within the same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4" w:right="359" w:bottom="1440" w:gutter="0" w:footer="0" w:header="0"/>
          <w:type w:val="continuous"/>
        </w:sectPr>
      </w:pPr>
    </w:p>
    <w:bookmarkStart w:id="59" w:name="page60"/>
    <w:bookmarkEnd w:id="59"/>
    <w:p>
      <w:pPr>
        <w:ind w:left="1600"/>
        <w:spacing w:after="0"/>
        <w:rPr>
          <w:sz w:val="20"/>
          <w:szCs w:val="20"/>
          <w:color w:val="auto"/>
        </w:rPr>
      </w:pPr>
      <w:r>
        <w:rPr>
          <w:rFonts w:ascii="Arial" w:cs="Arial" w:eastAsia="Arial" w:hAnsi="Arial"/>
          <w:sz w:val="16"/>
          <w:szCs w:val="16"/>
          <w:b w:val="1"/>
          <w:bCs w:val="1"/>
          <w:i w:val="1"/>
          <w:iCs w:val="1"/>
          <w:color w:val="auto"/>
        </w:rPr>
        <w:t>Acquisition of The Wheeling Corporation</w:t>
      </w:r>
    </w:p>
    <w:p>
      <w:pPr>
        <w:sectPr>
          <w:pgSz w:w="11900" w:h="16838" w:orient="portrait"/>
          <w:cols w:equalWidth="0" w:num="1">
            <w:col w:w="11220"/>
          </w:cols>
          <w:pgMar w:left="320" w:top="1086" w:right="359" w:bottom="1440" w:gutter="0" w:footer="0" w:header="0"/>
        </w:sectPr>
      </w:pPr>
    </w:p>
    <w:p>
      <w:pPr>
        <w:spacing w:after="0" w:line="46" w:lineRule="exact"/>
        <w:rPr>
          <w:sz w:val="20"/>
          <w:szCs w:val="20"/>
          <w:color w:val="auto"/>
        </w:rPr>
      </w:pPr>
    </w:p>
    <w:p>
      <w:pPr>
        <w:ind w:left="20"/>
        <w:spacing w:after="0" w:line="253" w:lineRule="auto"/>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As discussed in Notes 3 and 9 to the consolidated financial statements, on December 26, 2025, the Company completed the acquisition of The Wheeling Corporation (“Wheeling). Prior to obtaining control of Wheeling, the Company accounted for its investment</w:t>
      </w:r>
    </w:p>
    <w:p>
      <w:pPr>
        <w:spacing w:after="0" w:line="1" w:lineRule="exact"/>
        <w:rPr>
          <w:sz w:val="20"/>
          <w:szCs w:val="20"/>
          <w:color w:val="auto"/>
        </w:rPr>
      </w:pPr>
    </w:p>
    <w:p>
      <w:pPr>
        <w:sectPr>
          <w:pgSz w:w="11900" w:h="16838" w:orient="portrait"/>
          <w:cols w:equalWidth="0" w:num="2">
            <w:col w:w="1280" w:space="320"/>
            <w:col w:w="9620"/>
          </w:cols>
          <w:pgMar w:left="320" w:top="1086" w:right="359" w:bottom="1440" w:gutter="0" w:footer="0" w:header="0"/>
          <w:type w:val="continuous"/>
        </w:sectPr>
      </w:pPr>
    </w:p>
    <w:p>
      <w:pPr>
        <w:ind w:left="1600"/>
        <w:spacing w:after="0" w:line="237" w:lineRule="auto"/>
        <w:rPr>
          <w:sz w:val="20"/>
          <w:szCs w:val="20"/>
          <w:color w:val="auto"/>
        </w:rPr>
      </w:pPr>
      <w:r>
        <w:rPr>
          <w:rFonts w:ascii="Arial" w:cs="Arial" w:eastAsia="Arial" w:hAnsi="Arial"/>
          <w:sz w:val="16"/>
          <w:szCs w:val="16"/>
          <w:color w:val="auto"/>
        </w:rPr>
        <w:t>in Wheeling under the equity method. The purchase consideration has been preliminarily allocated to the assets acquired and liabilities assumed.</w:t>
      </w:r>
    </w:p>
    <w:p>
      <w:pPr>
        <w:spacing w:after="0" w:line="219" w:lineRule="exact"/>
        <w:rPr>
          <w:sz w:val="20"/>
          <w:szCs w:val="20"/>
          <w:color w:val="auto"/>
        </w:rPr>
      </w:pPr>
    </w:p>
    <w:p>
      <w:pPr>
        <w:ind w:left="1600"/>
        <w:spacing w:after="0" w:line="248" w:lineRule="auto"/>
        <w:rPr>
          <w:sz w:val="20"/>
          <w:szCs w:val="20"/>
          <w:color w:val="auto"/>
        </w:rPr>
      </w:pPr>
      <w:r>
        <w:rPr>
          <w:rFonts w:ascii="Arial" w:cs="Arial" w:eastAsia="Arial" w:hAnsi="Arial"/>
          <w:sz w:val="16"/>
          <w:szCs w:val="16"/>
          <w:color w:val="auto"/>
        </w:rPr>
        <w:t>Auditing the Company’s accounting for the acquisition was complex due to significant estimation uncertainty in determining the preliminary fair value of bridges and tunnels, and track and track related assets. The Company used a replacement cost approach and</w:t>
      </w:r>
    </w:p>
    <w:p>
      <w:pPr>
        <w:jc w:val="both"/>
        <w:ind w:left="1600"/>
        <w:spacing w:after="0" w:line="237" w:lineRule="auto"/>
        <w:rPr>
          <w:sz w:val="20"/>
          <w:szCs w:val="20"/>
          <w:color w:val="auto"/>
        </w:rPr>
      </w:pPr>
      <w:r>
        <w:rPr>
          <w:rFonts w:ascii="Arial" w:cs="Arial" w:eastAsia="Arial" w:hAnsi="Arial"/>
          <w:sz w:val="16"/>
          <w:szCs w:val="16"/>
          <w:color w:val="auto"/>
        </w:rPr>
        <w:t>market approach to estimate the fair value of the assets noted above. The significant assumptions used to estimate the fair value included estimated acreage and market value per acre, as well as the condition and unit construction cost of bridges and tunnels.</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These significant assumptions are based on available information and could be affected by future economic and market conditions.</w:t>
      </w:r>
    </w:p>
    <w:p>
      <w:pPr>
        <w:sectPr>
          <w:pgSz w:w="11900" w:h="16838" w:orient="portrait"/>
          <w:cols w:equalWidth="0" w:num="1">
            <w:col w:w="11220"/>
          </w:cols>
          <w:pgMar w:left="320" w:top="1086" w:right="359" w:bottom="1440" w:gutter="0" w:footer="0" w:header="0"/>
          <w:type w:val="continuous"/>
        </w:sectPr>
      </w:pPr>
    </w:p>
    <w:p>
      <w:pPr>
        <w:spacing w:after="0" w:line="30" w:lineRule="exact"/>
        <w:rPr>
          <w:sz w:val="20"/>
          <w:szCs w:val="20"/>
          <w:color w:val="auto"/>
        </w:rPr>
      </w:pPr>
    </w:p>
    <w:p>
      <w:pPr>
        <w:ind w:left="20"/>
        <w:spacing w:after="0" w:line="248" w:lineRule="auto"/>
        <w:rPr>
          <w:sz w:val="20"/>
          <w:szCs w:val="20"/>
          <w:color w:val="auto"/>
        </w:rPr>
      </w:pPr>
      <w:r>
        <w:rPr>
          <w:rFonts w:ascii="Arial" w:cs="Arial" w:eastAsia="Arial" w:hAnsi="Arial"/>
          <w:sz w:val="16"/>
          <w:szCs w:val="16"/>
          <w:i w:val="1"/>
          <w:iCs w:val="1"/>
          <w:color w:val="auto"/>
        </w:rPr>
        <w:t xml:space="preserve">How We Addressed </w:t>
      </w:r>
      <w:r>
        <w:rPr>
          <w:rFonts w:ascii="Arial" w:cs="Arial" w:eastAsia="Arial" w:hAnsi="Arial"/>
          <w:sz w:val="16"/>
          <w:szCs w:val="16"/>
          <w:color w:val="auto"/>
        </w:rPr>
        <w:t>We obtained an understanding, evaluated the design, and tested the operating effectiveness of controls over the Company’s business</w:t>
      </w:r>
      <w:r>
        <w:rPr>
          <w:rFonts w:ascii="Arial" w:cs="Arial" w:eastAsia="Arial" w:hAnsi="Arial"/>
          <w:sz w:val="16"/>
          <w:szCs w:val="16"/>
          <w:i w:val="1"/>
          <w:iCs w:val="1"/>
          <w:color w:val="auto"/>
        </w:rPr>
        <w:t xml:space="preserve"> the Matter in Our </w:t>
      </w:r>
      <w:r>
        <w:rPr>
          <w:rFonts w:ascii="Arial" w:cs="Arial" w:eastAsia="Arial" w:hAnsi="Arial"/>
          <w:sz w:val="16"/>
          <w:szCs w:val="16"/>
          <w:color w:val="auto"/>
        </w:rPr>
        <w:t>combination process, including controls over management’s review of the significant assumptions described above.</w:t>
      </w:r>
    </w:p>
    <w:p>
      <w:pPr>
        <w:ind w:left="20"/>
        <w:spacing w:after="0"/>
        <w:rPr>
          <w:sz w:val="20"/>
          <w:szCs w:val="20"/>
          <w:color w:val="auto"/>
        </w:rPr>
      </w:pPr>
      <w:r>
        <w:rPr>
          <w:rFonts w:ascii="Arial" w:cs="Arial" w:eastAsia="Arial" w:hAnsi="Arial"/>
          <w:sz w:val="16"/>
          <w:szCs w:val="16"/>
          <w:i w:val="1"/>
          <w:iCs w:val="1"/>
          <w:color w:val="auto"/>
        </w:rPr>
        <w:t>Audit</w:t>
      </w:r>
    </w:p>
    <w:p>
      <w:pPr>
        <w:spacing w:after="0" w:line="43" w:lineRule="exact"/>
        <w:rPr>
          <w:sz w:val="20"/>
          <w:szCs w:val="20"/>
          <w:color w:val="auto"/>
        </w:rPr>
      </w:pPr>
    </w:p>
    <w:p>
      <w:pPr>
        <w:jc w:val="both"/>
        <w:ind w:left="1600"/>
        <w:spacing w:after="0" w:line="247" w:lineRule="auto"/>
        <w:rPr>
          <w:sz w:val="20"/>
          <w:szCs w:val="20"/>
          <w:color w:val="auto"/>
        </w:rPr>
      </w:pPr>
      <w:r>
        <w:rPr>
          <w:rFonts w:ascii="Arial" w:cs="Arial" w:eastAsia="Arial" w:hAnsi="Arial"/>
          <w:sz w:val="16"/>
          <w:szCs w:val="16"/>
          <w:color w:val="auto"/>
        </w:rPr>
        <w:t>To test the estimated fair values of the assets described above, we performed audit procedures that included, among others, involving our valuation specialists to assist in evaluating the appropriateness of the Company’s valuation methodology and significant assumptions used, including the market value per acre, estimated acreage and the unit construction costs of bridges and tunnels. We compared significant assumptions used in the model to geographic, industry and market data, as well as comparable transactions. We also tested the completeness and accuracy of the underlying data supporting the significant assumptions.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6" w:right="3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BALANCE SHEETS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4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300" w:type="dxa"/>
            <w:vAlign w:val="bottom"/>
          </w:tcPr>
          <w:p>
            <w:pPr>
              <w:spacing w:after="0"/>
              <w:rPr>
                <w:sz w:val="20"/>
                <w:szCs w:val="20"/>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540" w:type="dxa"/>
            <w:vAlign w:val="bottom"/>
          </w:tcPr>
          <w:p>
            <w:pPr>
              <w:spacing w:after="0"/>
              <w:rPr>
                <w:sz w:val="20"/>
                <w:szCs w:val="20"/>
                <w:color w:val="auto"/>
              </w:rPr>
            </w:pPr>
            <w:r>
              <w:rPr>
                <w:rFonts w:ascii="Arial" w:cs="Arial" w:eastAsia="Arial" w:hAnsi="Arial"/>
                <w:sz w:val="14"/>
                <w:szCs w:val="14"/>
                <w:color w:val="auto"/>
              </w:rPr>
              <w:t>Current assets: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57,351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27,785</w:t>
            </w:r>
          </w:p>
        </w:tc>
        <w:tc>
          <w:tcPr>
            <w:tcW w:w="0" w:type="dxa"/>
            <w:vAlign w:val="bottom"/>
          </w:tcPr>
          <w:p>
            <w:pPr>
              <w:spacing w:after="0"/>
              <w:rPr>
                <w:sz w:val="1"/>
                <w:szCs w:val="1"/>
                <w:color w:val="auto"/>
              </w:rPr>
            </w:pPr>
          </w:p>
        </w:tc>
      </w:tr>
      <w:tr>
        <w:trPr>
          <w:trHeight w:val="202"/>
        </w:trPr>
        <w:tc>
          <w:tcPr>
            <w:tcW w:w="7540" w:type="dxa"/>
            <w:vAlign w:val="bottom"/>
          </w:tcPr>
          <w:p>
            <w:pPr>
              <w:ind w:left="120"/>
              <w:spacing w:after="0"/>
              <w:rPr>
                <w:sz w:val="20"/>
                <w:szCs w:val="20"/>
                <w:color w:val="auto"/>
              </w:rPr>
            </w:pPr>
            <w:r>
              <w:rPr>
                <w:rFonts w:ascii="Arial" w:cs="Arial" w:eastAsia="Arial" w:hAnsi="Arial"/>
                <w:sz w:val="14"/>
                <w:szCs w:val="14"/>
                <w:color w:val="auto"/>
              </w:rPr>
              <w:t>Restricted cash and cash equivalents</w:t>
            </w:r>
          </w:p>
        </w:tc>
        <w:tc>
          <w:tcPr>
            <w:tcW w:w="74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268,595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119,511</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receivable,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95,388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52,994</w:t>
            </w:r>
          </w:p>
        </w:tc>
        <w:tc>
          <w:tcPr>
            <w:tcW w:w="0" w:type="dxa"/>
            <w:vAlign w:val="bottom"/>
          </w:tcPr>
          <w:p>
            <w:pPr>
              <w:spacing w:after="0"/>
              <w:rPr>
                <w:sz w:val="1"/>
                <w:szCs w:val="1"/>
                <w:color w:val="auto"/>
              </w:rPr>
            </w:pPr>
          </w:p>
        </w:tc>
      </w:tr>
      <w:tr>
        <w:trPr>
          <w:trHeight w:val="202"/>
        </w:trPr>
        <w:tc>
          <w:tcPr>
            <w:tcW w:w="75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current assets</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62,677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19,561</w:t>
            </w:r>
          </w:p>
        </w:tc>
        <w:tc>
          <w:tcPr>
            <w:tcW w:w="0" w:type="dxa"/>
            <w:vAlign w:val="bottom"/>
          </w:tcPr>
          <w:p>
            <w:pPr>
              <w:spacing w:after="0"/>
              <w:rPr>
                <w:sz w:val="1"/>
                <w:szCs w:val="1"/>
                <w:color w:val="auto"/>
              </w:rPr>
            </w:pPr>
          </w:p>
        </w:tc>
      </w:tr>
      <w:tr>
        <w:trPr>
          <w:trHeight w:val="197"/>
        </w:trPr>
        <w:tc>
          <w:tcPr>
            <w:tcW w:w="7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484,011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219,851</w:t>
            </w:r>
          </w:p>
        </w:tc>
        <w:tc>
          <w:tcPr>
            <w:tcW w:w="0" w:type="dxa"/>
            <w:vAlign w:val="bottom"/>
          </w:tcPr>
          <w:p>
            <w:pPr>
              <w:spacing w:after="0"/>
              <w:rPr>
                <w:sz w:val="1"/>
                <w:szCs w:val="1"/>
                <w:color w:val="auto"/>
              </w:rPr>
            </w:pPr>
          </w:p>
        </w:tc>
      </w:tr>
      <w:tr>
        <w:trPr>
          <w:trHeight w:val="202"/>
        </w:trPr>
        <w:tc>
          <w:tcPr>
            <w:tcW w:w="7540" w:type="dxa"/>
            <w:vAlign w:val="bottom"/>
          </w:tcPr>
          <w:p>
            <w:pPr>
              <w:spacing w:after="0"/>
              <w:rPr>
                <w:sz w:val="20"/>
                <w:szCs w:val="20"/>
                <w:color w:val="auto"/>
              </w:rPr>
            </w:pPr>
            <w:r>
              <w:rPr>
                <w:rFonts w:ascii="Arial" w:cs="Arial" w:eastAsia="Arial" w:hAnsi="Arial"/>
                <w:sz w:val="14"/>
                <w:szCs w:val="14"/>
                <w:color w:val="auto"/>
              </w:rPr>
              <w:t>Leasing equipment, net</w:t>
            </w:r>
          </w:p>
        </w:tc>
        <w:tc>
          <w:tcPr>
            <w:tcW w:w="740" w:type="dxa"/>
            <w:vAlign w:val="bottom"/>
          </w:tcPr>
          <w:p>
            <w:pPr>
              <w:jc w:val="center"/>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36,570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37,453</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133,493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67,937</w:t>
            </w:r>
          </w:p>
        </w:tc>
        <w:tc>
          <w:tcPr>
            <w:tcW w:w="0" w:type="dxa"/>
            <w:vAlign w:val="bottom"/>
          </w:tcPr>
          <w:p>
            <w:pPr>
              <w:spacing w:after="0"/>
              <w:rPr>
                <w:sz w:val="1"/>
                <w:szCs w:val="1"/>
                <w:color w:val="auto"/>
              </w:rPr>
            </w:pPr>
          </w:p>
        </w:tc>
      </w:tr>
      <w:tr>
        <w:trPr>
          <w:trHeight w:val="202"/>
        </w:trPr>
        <w:tc>
          <w:tcPr>
            <w:tcW w:w="754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740" w:type="dxa"/>
            <w:vAlign w:val="bottom"/>
          </w:tcPr>
          <w:p>
            <w:pPr>
              <w:jc w:val="center"/>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4,581,771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1,653,468</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22,243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12,529</w:t>
            </w:r>
          </w:p>
        </w:tc>
        <w:tc>
          <w:tcPr>
            <w:tcW w:w="0" w:type="dxa"/>
            <w:vAlign w:val="bottom"/>
          </w:tcPr>
          <w:p>
            <w:pPr>
              <w:spacing w:after="0"/>
              <w:rPr>
                <w:sz w:val="1"/>
                <w:szCs w:val="1"/>
                <w:color w:val="auto"/>
              </w:rPr>
            </w:pPr>
          </w:p>
        </w:tc>
      </w:tr>
      <w:tr>
        <w:trPr>
          <w:trHeight w:val="202"/>
        </w:trPr>
        <w:tc>
          <w:tcPr>
            <w:tcW w:w="7540" w:type="dxa"/>
            <w:vAlign w:val="bottom"/>
          </w:tcPr>
          <w:p>
            <w:pPr>
              <w:spacing w:after="0"/>
              <w:rPr>
                <w:sz w:val="20"/>
                <w:szCs w:val="20"/>
                <w:color w:val="auto"/>
              </w:rPr>
            </w:pPr>
            <w:r>
              <w:rPr>
                <w:rFonts w:ascii="Arial" w:cs="Arial" w:eastAsia="Arial" w:hAnsi="Arial"/>
                <w:sz w:val="14"/>
                <w:szCs w:val="14"/>
                <w:color w:val="auto"/>
              </w:rPr>
              <w:t>Intangible assets, net</w:t>
            </w:r>
          </w:p>
        </w:tc>
        <w:tc>
          <w:tcPr>
            <w:tcW w:w="740" w:type="dxa"/>
            <w:vAlign w:val="bottom"/>
          </w:tcPr>
          <w:p>
            <w:pPr>
              <w:jc w:val="center"/>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43,173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46,229</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365,703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275,367</w:t>
            </w:r>
          </w:p>
        </w:tc>
        <w:tc>
          <w:tcPr>
            <w:tcW w:w="0" w:type="dxa"/>
            <w:vAlign w:val="bottom"/>
          </w:tcPr>
          <w:p>
            <w:pPr>
              <w:spacing w:after="0"/>
              <w:rPr>
                <w:sz w:val="1"/>
                <w:szCs w:val="1"/>
                <w:color w:val="auto"/>
              </w:rPr>
            </w:pPr>
          </w:p>
        </w:tc>
      </w:tr>
      <w:tr>
        <w:trPr>
          <w:trHeight w:val="202"/>
        </w:trPr>
        <w:tc>
          <w:tcPr>
            <w:tcW w:w="7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81,697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61,554</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5,748,661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2,374,388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tcPr>
          <w:p>
            <w:pPr>
              <w:spacing w:after="0"/>
              <w:rPr>
                <w:sz w:val="20"/>
                <w:szCs w:val="20"/>
                <w:color w:val="auto"/>
              </w:rPr>
            </w:pPr>
            <w:r>
              <w:rPr>
                <w:rFonts w:ascii="Arial" w:cs="Arial" w:eastAsia="Arial" w:hAnsi="Arial"/>
                <w:sz w:val="14"/>
                <w:szCs w:val="14"/>
                <w:color w:val="auto"/>
              </w:rPr>
              <w:t>Current liabilities: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 and accrued liabilities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280,707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176,425</w:t>
            </w:r>
          </w:p>
        </w:tc>
        <w:tc>
          <w:tcPr>
            <w:tcW w:w="0" w:type="dxa"/>
            <w:vAlign w:val="bottom"/>
          </w:tcPr>
          <w:p>
            <w:pPr>
              <w:spacing w:after="0"/>
              <w:rPr>
                <w:sz w:val="1"/>
                <w:szCs w:val="1"/>
                <w:color w:val="auto"/>
              </w:rPr>
            </w:pPr>
          </w:p>
        </w:tc>
      </w:tr>
      <w:tr>
        <w:trPr>
          <w:trHeight w:val="201"/>
        </w:trPr>
        <w:tc>
          <w:tcPr>
            <w:tcW w:w="7540" w:type="dxa"/>
            <w:vAlign w:val="bottom"/>
          </w:tcPr>
          <w:p>
            <w:pPr>
              <w:ind w:left="120"/>
              <w:spacing w:after="0"/>
              <w:rPr>
                <w:sz w:val="20"/>
                <w:szCs w:val="20"/>
                <w:color w:val="auto"/>
              </w:rPr>
            </w:pPr>
            <w:r>
              <w:rPr>
                <w:rFonts w:ascii="Arial" w:cs="Arial" w:eastAsia="Arial" w:hAnsi="Arial"/>
                <w:sz w:val="14"/>
                <w:szCs w:val="14"/>
                <w:color w:val="auto"/>
              </w:rPr>
              <w:t>Debt, net</w:t>
            </w:r>
          </w:p>
        </w:tc>
        <w:tc>
          <w:tcPr>
            <w:tcW w:w="740" w:type="dxa"/>
            <w:vAlign w:val="bottom"/>
          </w:tcPr>
          <w:p>
            <w:pPr>
              <w:jc w:val="center"/>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65,438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48,594</w:t>
            </w:r>
          </w:p>
        </w:tc>
        <w:tc>
          <w:tcPr>
            <w:tcW w:w="0" w:type="dxa"/>
            <w:vAlign w:val="bottom"/>
          </w:tcPr>
          <w:p>
            <w:pPr>
              <w:spacing w:after="0"/>
              <w:rPr>
                <w:sz w:val="1"/>
                <w:szCs w:val="1"/>
                <w:color w:val="auto"/>
              </w:rPr>
            </w:pPr>
          </w:p>
        </w:tc>
      </w:tr>
      <w:tr>
        <w:trPr>
          <w:trHeight w:val="204"/>
        </w:trPr>
        <w:tc>
          <w:tcPr>
            <w:tcW w:w="7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liabilities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9,108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7,172</w:t>
            </w:r>
          </w:p>
        </w:tc>
        <w:tc>
          <w:tcPr>
            <w:tcW w:w="0" w:type="dxa"/>
            <w:vAlign w:val="bottom"/>
          </w:tcPr>
          <w:p>
            <w:pPr>
              <w:spacing w:after="0"/>
              <w:rPr>
                <w:sz w:val="1"/>
                <w:szCs w:val="1"/>
                <w:color w:val="auto"/>
              </w:rPr>
            </w:pPr>
          </w:p>
        </w:tc>
      </w:tr>
      <w:tr>
        <w:trPr>
          <w:trHeight w:val="201"/>
        </w:trPr>
        <w:tc>
          <w:tcPr>
            <w:tcW w:w="7540" w:type="dxa"/>
            <w:vAlign w:val="bottom"/>
          </w:tcPr>
          <w:p>
            <w:pPr>
              <w:ind w:left="120"/>
              <w:spacing w:after="0"/>
              <w:rPr>
                <w:sz w:val="20"/>
                <w:szCs w:val="20"/>
                <w:color w:val="auto"/>
              </w:rPr>
            </w:pPr>
            <w:r>
              <w:rPr>
                <w:rFonts w:ascii="Arial" w:cs="Arial" w:eastAsia="Arial" w:hAnsi="Arial"/>
                <w:sz w:val="14"/>
                <w:szCs w:val="14"/>
                <w:color w:val="auto"/>
              </w:rPr>
              <w:t>Derivative liabilities</w:t>
            </w:r>
          </w:p>
        </w:tc>
        <w:tc>
          <w:tcPr>
            <w:tcW w:w="740" w:type="dxa"/>
            <w:vAlign w:val="bottom"/>
          </w:tcPr>
          <w:p>
            <w:pPr>
              <w:jc w:val="center"/>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34,381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7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liabilities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20,363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18,603</w:t>
            </w:r>
          </w:p>
        </w:tc>
        <w:tc>
          <w:tcPr>
            <w:tcW w:w="0" w:type="dxa"/>
            <w:vAlign w:val="bottom"/>
          </w:tcPr>
          <w:p>
            <w:pPr>
              <w:spacing w:after="0"/>
              <w:rPr>
                <w:sz w:val="1"/>
                <w:szCs w:val="1"/>
                <w:color w:val="auto"/>
              </w:rPr>
            </w:pPr>
          </w:p>
        </w:tc>
      </w:tr>
      <w:tr>
        <w:trPr>
          <w:trHeight w:val="195"/>
        </w:trPr>
        <w:tc>
          <w:tcPr>
            <w:tcW w:w="754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409,997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250,794</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Debt,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3,708,735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1,539,241</w:t>
            </w:r>
          </w:p>
        </w:tc>
        <w:tc>
          <w:tcPr>
            <w:tcW w:w="0" w:type="dxa"/>
            <w:vAlign w:val="bottom"/>
          </w:tcPr>
          <w:p>
            <w:pPr>
              <w:spacing w:after="0"/>
              <w:rPr>
                <w:sz w:val="1"/>
                <w:szCs w:val="1"/>
                <w:color w:val="auto"/>
              </w:rPr>
            </w:pPr>
          </w:p>
        </w:tc>
      </w:tr>
      <w:tr>
        <w:trPr>
          <w:trHeight w:val="202"/>
        </w:trPr>
        <w:tc>
          <w:tcPr>
            <w:tcW w:w="7540" w:type="dxa"/>
            <w:vAlign w:val="bottom"/>
          </w:tcPr>
          <w:p>
            <w:pPr>
              <w:spacing w:after="0"/>
              <w:rPr>
                <w:sz w:val="20"/>
                <w:szCs w:val="20"/>
                <w:color w:val="auto"/>
              </w:rPr>
            </w:pPr>
            <w:r>
              <w:rPr>
                <w:rFonts w:ascii="Arial" w:cs="Arial" w:eastAsia="Arial" w:hAnsi="Arial"/>
                <w:sz w:val="14"/>
                <w:szCs w:val="14"/>
                <w:color w:val="auto"/>
              </w:rPr>
              <w:t>Operating lease liabilities</w:t>
            </w:r>
          </w:p>
        </w:tc>
        <w:tc>
          <w:tcPr>
            <w:tcW w:w="740" w:type="dxa"/>
            <w:vAlign w:val="bottom"/>
          </w:tcPr>
          <w:p>
            <w:pPr>
              <w:jc w:val="center"/>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71,000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60,893</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Derivative liabilities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189,116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7540" w:type="dxa"/>
            <w:vAlign w:val="bottom"/>
          </w:tcPr>
          <w:p>
            <w:pPr>
              <w:spacing w:after="0"/>
              <w:rPr>
                <w:sz w:val="20"/>
                <w:szCs w:val="20"/>
                <w:color w:val="auto"/>
              </w:rPr>
            </w:pPr>
            <w:r>
              <w:rPr>
                <w:rFonts w:ascii="Arial" w:cs="Arial" w:eastAsia="Arial" w:hAnsi="Arial"/>
                <w:sz w:val="14"/>
                <w:szCs w:val="14"/>
                <w:color w:val="auto"/>
              </w:rPr>
              <w:t>Warrant liabilities</w:t>
            </w:r>
          </w:p>
        </w:tc>
        <w:tc>
          <w:tcPr>
            <w:tcW w:w="740" w:type="dxa"/>
            <w:vAlign w:val="bottom"/>
          </w:tcPr>
          <w:p>
            <w:pPr>
              <w:jc w:val="center"/>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81,599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 liabilities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300,231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9,639</w:t>
            </w:r>
          </w:p>
        </w:tc>
        <w:tc>
          <w:tcPr>
            <w:tcW w:w="0" w:type="dxa"/>
            <w:vAlign w:val="bottom"/>
          </w:tcPr>
          <w:p>
            <w:pPr>
              <w:spacing w:after="0"/>
              <w:rPr>
                <w:sz w:val="1"/>
                <w:szCs w:val="1"/>
                <w:color w:val="auto"/>
              </w:rPr>
            </w:pPr>
          </w:p>
        </w:tc>
      </w:tr>
      <w:tr>
        <w:trPr>
          <w:trHeight w:val="202"/>
        </w:trPr>
        <w:tc>
          <w:tcPr>
            <w:tcW w:w="7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liabilities</w:t>
            </w:r>
          </w:p>
        </w:tc>
        <w:tc>
          <w:tcPr>
            <w:tcW w:w="7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44,000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57,465</w:t>
            </w: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4,804,678</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1,918,032</w:t>
            </w:r>
          </w:p>
        </w:tc>
        <w:tc>
          <w:tcPr>
            <w:tcW w:w="0" w:type="dxa"/>
            <w:vAlign w:val="bottom"/>
          </w:tcPr>
          <w:p>
            <w:pPr>
              <w:spacing w:after="0"/>
              <w:rPr>
                <w:sz w:val="1"/>
                <w:szCs w:val="1"/>
                <w:color w:val="auto"/>
              </w:rPr>
            </w:pPr>
          </w:p>
        </w:tc>
      </w:tr>
      <w:tr>
        <w:trPr>
          <w:trHeight w:val="251"/>
        </w:trPr>
        <w:tc>
          <w:tcPr>
            <w:tcW w:w="7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54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 xml:space="preserve">Redeemable preferred stock Series A </w:t>
            </w:r>
            <w:r>
              <w:rPr>
                <w:rFonts w:ascii="Arial" w:cs="Arial" w:eastAsia="Arial" w:hAnsi="Arial"/>
                <w:sz w:val="14"/>
                <w:szCs w:val="14"/>
                <w:color w:val="auto"/>
              </w:rPr>
              <w:t>($0.01 par value per share; 200,000,000 total preferred shares authorized;</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5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300,000 Series A shares issued and outstanding as of December 31, 2025 and December 31, 2024, respectively;</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381,218</w:t>
            </w: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redemption amount of $— million and $431.8 million as of December 31, 2025 and December 31, 2024, respectively)</w:t>
            </w: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540" w:type="dxa"/>
            <w:vAlign w:val="bottom"/>
          </w:tcPr>
          <w:p>
            <w:pPr>
              <w:spacing w:after="0" w:line="153" w:lineRule="exact"/>
              <w:rPr>
                <w:sz w:val="20"/>
                <w:szCs w:val="20"/>
                <w:color w:val="auto"/>
              </w:rPr>
            </w:pPr>
            <w:r>
              <w:rPr>
                <w:rFonts w:ascii="Arial" w:cs="Arial" w:eastAsia="Arial" w:hAnsi="Arial"/>
                <w:sz w:val="14"/>
                <w:szCs w:val="14"/>
                <w:b w:val="1"/>
                <w:bCs w:val="1"/>
                <w:color w:val="auto"/>
              </w:rPr>
              <w:t xml:space="preserve">Redeemable convertible preferred stock Series B </w:t>
            </w:r>
            <w:r>
              <w:rPr>
                <w:rFonts w:ascii="Arial" w:cs="Arial" w:eastAsia="Arial" w:hAnsi="Arial"/>
                <w:sz w:val="14"/>
                <w:szCs w:val="14"/>
                <w:color w:val="auto"/>
              </w:rPr>
              <w:t>($0.01 par value per share; 200,000,000 total preferred shares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540" w:type="dxa"/>
            <w:vAlign w:val="bottom"/>
          </w:tcPr>
          <w:p>
            <w:pPr>
              <w:spacing w:after="0" w:line="145" w:lineRule="exact"/>
              <w:rPr>
                <w:sz w:val="20"/>
                <w:szCs w:val="20"/>
                <w:color w:val="auto"/>
              </w:rPr>
            </w:pPr>
            <w:r>
              <w:rPr>
                <w:rFonts w:ascii="Arial" w:cs="Arial" w:eastAsia="Arial" w:hAnsi="Arial"/>
                <w:sz w:val="14"/>
                <w:szCs w:val="14"/>
                <w:color w:val="auto"/>
              </w:rPr>
              <w:t>authorized; 160,000 and — Series B shares issued and outstanding as of December 31, 2025 and December 31,</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152,642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7540" w:type="dxa"/>
            <w:vAlign w:val="bottom"/>
          </w:tcPr>
          <w:p>
            <w:pPr>
              <w:spacing w:after="0"/>
              <w:rPr>
                <w:sz w:val="20"/>
                <w:szCs w:val="20"/>
                <w:color w:val="auto"/>
              </w:rPr>
            </w:pPr>
            <w:r>
              <w:rPr>
                <w:rFonts w:ascii="Arial" w:cs="Arial" w:eastAsia="Arial" w:hAnsi="Arial"/>
                <w:sz w:val="14"/>
                <w:szCs w:val="14"/>
                <w:color w:val="auto"/>
              </w:rPr>
              <w:t>2024; redemption amount of $192.0 million and $— million as of December 31, 2025 and December 31, 2024)</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54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 xml:space="preserve">Redeemable preferred stock Series A RailCo - Non-controlling interest </w:t>
            </w:r>
            <w:r>
              <w:rPr>
                <w:rFonts w:ascii="Arial" w:cs="Arial" w:eastAsia="Arial" w:hAnsi="Arial"/>
                <w:sz w:val="14"/>
                <w:szCs w:val="14"/>
                <w:color w:val="auto"/>
              </w:rPr>
              <w:t>(zero par value per share; 1,000,000 total</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5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preferred shares authorized; 1,000,000 and — Series A - RailCo shares issued and outstanding as of December 31,</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5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2025 and December 31, 2024, respectively; redemption amount of $1.4 billion and $— million at December 31, 2025</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937,578</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spacing w:after="0"/>
              <w:rPr>
                <w:sz w:val="20"/>
                <w:szCs w:val="20"/>
                <w:color w:val="auto"/>
              </w:rPr>
            </w:pPr>
            <w:r>
              <w:rPr>
                <w:rFonts w:ascii="Arial" w:cs="Arial" w:eastAsia="Arial" w:hAnsi="Arial"/>
                <w:sz w:val="14"/>
                <w:szCs w:val="14"/>
                <w:color w:val="auto"/>
              </w:rPr>
              <w:t>and December 31, 2024, respectively)</w:t>
            </w: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BALANCE SHEETS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thousands, except share and per share data)</w:t>
      </w: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8360" w:type="dxa"/>
            <w:vAlign w:val="bottom"/>
          </w:tcPr>
          <w:p>
            <w:pPr>
              <w:spacing w:after="0"/>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83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Common stock ($0.01 par value per share; 2,000,000,000 shares authorized; 116,294,461 and 113,934,860 shares</w:t>
            </w:r>
          </w:p>
        </w:tc>
        <w:tc>
          <w:tcPr>
            <w:tcW w:w="3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1,163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85"/>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issued and outstanding at December 31, 2025 and December 31, 2024, respectively)</w:t>
            </w:r>
          </w:p>
        </w:tc>
        <w:tc>
          <w:tcPr>
            <w:tcW w:w="3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360" w:type="dxa"/>
            <w:vAlign w:val="bottom"/>
          </w:tcPr>
          <w:p>
            <w:pPr>
              <w:spacing w:after="0"/>
              <w:rPr>
                <w:sz w:val="20"/>
                <w:szCs w:val="20"/>
                <w:color w:val="auto"/>
              </w:rPr>
            </w:pPr>
            <w:r>
              <w:rPr>
                <w:rFonts w:ascii="Arial" w:cs="Arial" w:eastAsia="Arial" w:hAnsi="Arial"/>
                <w:sz w:val="14"/>
                <w:szCs w:val="14"/>
                <w:color w:val="auto"/>
              </w:rPr>
              <w:t>Additional paid in capital</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623,771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764,381</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(512,992)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(405,818)</w:t>
            </w:r>
          </w:p>
        </w:tc>
        <w:tc>
          <w:tcPr>
            <w:tcW w:w="0" w:type="dxa"/>
            <w:vAlign w:val="bottom"/>
          </w:tcPr>
          <w:p>
            <w:pPr>
              <w:spacing w:after="0"/>
              <w:rPr>
                <w:sz w:val="1"/>
                <w:szCs w:val="1"/>
                <w:color w:val="auto"/>
              </w:rPr>
            </w:pPr>
          </w:p>
        </w:tc>
      </w:tr>
      <w:tr>
        <w:trPr>
          <w:trHeight w:val="202"/>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Accumulated other comprehensive loss</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(90,618)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(157,051)</w:t>
            </w:r>
          </w:p>
        </w:tc>
        <w:tc>
          <w:tcPr>
            <w:tcW w:w="0" w:type="dxa"/>
            <w:vAlign w:val="bottom"/>
          </w:tcPr>
          <w:p>
            <w:pPr>
              <w:spacing w:after="0"/>
              <w:rPr>
                <w:sz w:val="1"/>
                <w:szCs w:val="1"/>
                <w:color w:val="auto"/>
              </w:rPr>
            </w:pPr>
          </w:p>
        </w:tc>
      </w:tr>
      <w:tr>
        <w:trPr>
          <w:trHeight w:val="19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21,324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202,651</w:t>
            </w:r>
          </w:p>
        </w:tc>
        <w:tc>
          <w:tcPr>
            <w:tcW w:w="0" w:type="dxa"/>
            <w:vAlign w:val="bottom"/>
          </w:tcPr>
          <w:p>
            <w:pPr>
              <w:spacing w:after="0"/>
              <w:rPr>
                <w:sz w:val="1"/>
                <w:szCs w:val="1"/>
                <w:color w:val="auto"/>
              </w:rPr>
            </w:pPr>
          </w:p>
        </w:tc>
      </w:tr>
      <w:tr>
        <w:trPr>
          <w:trHeight w:val="201"/>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Non-controlling interests in equity of consolidated subsidiaries</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(167,561)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(127,513)</w:t>
            </w: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equity</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(146,237)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75,138</w:t>
            </w:r>
          </w:p>
        </w:tc>
        <w:tc>
          <w:tcPr>
            <w:tcW w:w="0" w:type="dxa"/>
            <w:vAlign w:val="bottom"/>
          </w:tcPr>
          <w:p>
            <w:pPr>
              <w:spacing w:after="0"/>
              <w:rPr>
                <w:sz w:val="1"/>
                <w:szCs w:val="1"/>
                <w:color w:val="auto"/>
              </w:rPr>
            </w:pPr>
          </w:p>
        </w:tc>
      </w:tr>
      <w:tr>
        <w:trPr>
          <w:trHeight w:val="197"/>
        </w:trPr>
        <w:tc>
          <w:tcPr>
            <w:tcW w:w="8360" w:type="dxa"/>
            <w:vAlign w:val="bottom"/>
          </w:tcPr>
          <w:p>
            <w:pPr>
              <w:ind w:left="340"/>
              <w:spacing w:after="0"/>
              <w:rPr>
                <w:sz w:val="20"/>
                <w:szCs w:val="20"/>
                <w:color w:val="auto"/>
              </w:rPr>
            </w:pPr>
            <w:r>
              <w:rPr>
                <w:rFonts w:ascii="Arial" w:cs="Arial" w:eastAsia="Arial" w:hAnsi="Arial"/>
                <w:sz w:val="14"/>
                <w:szCs w:val="14"/>
                <w:color w:val="auto"/>
              </w:rPr>
              <w:t>Total liabilities, redeemable preferred stock and equity</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5,748,661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2,374,388</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thousands, except share and per share data)</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80" w:type="dxa"/>
            <w:vAlign w:val="bottom"/>
          </w:tcPr>
          <w:p>
            <w:pPr>
              <w:spacing w:after="0"/>
              <w:rPr>
                <w:sz w:val="17"/>
                <w:szCs w:val="17"/>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20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88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680" w:type="dxa"/>
            <w:vAlign w:val="bottom"/>
          </w:tcPr>
          <w:p>
            <w:pPr>
              <w:jc w:val="center"/>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502,520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331,497</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320,472</w:t>
            </w:r>
          </w:p>
        </w:tc>
        <w:tc>
          <w:tcPr>
            <w:tcW w:w="0" w:type="dxa"/>
            <w:vAlign w:val="bottom"/>
          </w:tcPr>
          <w:p>
            <w:pPr>
              <w:spacing w:after="0"/>
              <w:rPr>
                <w:sz w:val="1"/>
                <w:szCs w:val="1"/>
                <w:color w:val="auto"/>
              </w:rPr>
            </w:pPr>
          </w:p>
        </w:tc>
      </w:tr>
      <w:tr>
        <w:trPr>
          <w:trHeight w:val="163"/>
        </w:trPr>
        <w:tc>
          <w:tcPr>
            <w:tcW w:w="6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8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299,587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247,674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253,672</w:t>
            </w:r>
          </w:p>
        </w:tc>
        <w:tc>
          <w:tcPr>
            <w:tcW w:w="0" w:type="dxa"/>
            <w:vAlign w:val="bottom"/>
          </w:tcPr>
          <w:p>
            <w:pPr>
              <w:spacing w:after="0"/>
              <w:rPr>
                <w:sz w:val="1"/>
                <w:szCs w:val="1"/>
                <w:color w:val="auto"/>
              </w:rPr>
            </w:pPr>
          </w:p>
        </w:tc>
      </w:tr>
      <w:tr>
        <w:trPr>
          <w:trHeight w:val="202"/>
        </w:trPr>
        <w:tc>
          <w:tcPr>
            <w:tcW w:w="68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16,222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14,798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12,833</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27,138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5,457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202"/>
        </w:trPr>
        <w:tc>
          <w:tcPr>
            <w:tcW w:w="688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80" w:type="dxa"/>
            <w:vAlign w:val="bottom"/>
          </w:tcPr>
          <w:p>
            <w:pPr>
              <w:jc w:val="center"/>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14,714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11,318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12,467</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4, 5, 7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132,489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79,410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80,992</w:t>
            </w:r>
          </w:p>
        </w:tc>
        <w:tc>
          <w:tcPr>
            <w:tcW w:w="0" w:type="dxa"/>
            <w:vAlign w:val="bottom"/>
          </w:tcPr>
          <w:p>
            <w:pPr>
              <w:spacing w:after="0"/>
              <w:rPr>
                <w:sz w:val="1"/>
                <w:szCs w:val="1"/>
                <w:color w:val="auto"/>
              </w:rPr>
            </w:pPr>
          </w:p>
        </w:tc>
      </w:tr>
      <w:tr>
        <w:trPr>
          <w:trHeight w:val="202"/>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 impairment</w:t>
            </w: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4,401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72,336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494,551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430,993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364,847</w:t>
            </w:r>
          </w:p>
        </w:tc>
        <w:tc>
          <w:tcPr>
            <w:tcW w:w="0" w:type="dxa"/>
            <w:vAlign w:val="bottom"/>
          </w:tcPr>
          <w:p>
            <w:pPr>
              <w:spacing w:after="0"/>
              <w:rPr>
                <w:sz w:val="1"/>
                <w:szCs w:val="1"/>
                <w:color w:val="auto"/>
              </w:rPr>
            </w:pPr>
          </w:p>
        </w:tc>
      </w:tr>
      <w:tr>
        <w:trPr>
          <w:trHeight w:val="143"/>
        </w:trPr>
        <w:tc>
          <w:tcPr>
            <w:tcW w:w="6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80" w:type="dxa"/>
            <w:vAlign w:val="bottom"/>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680" w:type="dxa"/>
            <w:vAlign w:val="bottom"/>
          </w:tcPr>
          <w:p>
            <w:pPr>
              <w:jc w:val="cente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12,303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(55,496)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(24,707)</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128,842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6,855</w:t>
            </w:r>
          </w:p>
        </w:tc>
        <w:tc>
          <w:tcPr>
            <w:tcW w:w="0" w:type="dxa"/>
            <w:vAlign w:val="bottom"/>
          </w:tcPr>
          <w:p>
            <w:pPr>
              <w:spacing w:after="0"/>
              <w:rPr>
                <w:sz w:val="1"/>
                <w:szCs w:val="1"/>
                <w:color w:val="auto"/>
              </w:rPr>
            </w:pPr>
          </w:p>
        </w:tc>
      </w:tr>
      <w:tr>
        <w:trPr>
          <w:trHeight w:val="202"/>
        </w:trPr>
        <w:tc>
          <w:tcPr>
            <w:tcW w:w="6880" w:type="dxa"/>
            <w:vAlign w:val="bottom"/>
          </w:tcPr>
          <w:p>
            <w:pPr>
              <w:ind w:left="20"/>
              <w:spacing w:after="0"/>
              <w:rPr>
                <w:sz w:val="20"/>
                <w:szCs w:val="20"/>
                <w:color w:val="auto"/>
              </w:rPr>
            </w:pPr>
            <w:r>
              <w:rPr>
                <w:rFonts w:ascii="Arial" w:cs="Arial" w:eastAsia="Arial" w:hAnsi="Arial"/>
                <w:sz w:val="14"/>
                <w:szCs w:val="14"/>
                <w:color w:val="auto"/>
              </w:rPr>
              <w:t>Loss on modification or extinguishment of debt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(59,323)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(265,914)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(122,108)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(99,603)</w:t>
            </w:r>
          </w:p>
        </w:tc>
        <w:tc>
          <w:tcPr>
            <w:tcW w:w="0" w:type="dxa"/>
            <w:vAlign w:val="bottom"/>
          </w:tcPr>
          <w:p>
            <w:pPr>
              <w:spacing w:after="0"/>
              <w:rPr>
                <w:sz w:val="1"/>
                <w:szCs w:val="1"/>
                <w:color w:val="auto"/>
              </w:rPr>
            </w:pPr>
          </w:p>
        </w:tc>
      </w:tr>
      <w:tr>
        <w:trPr>
          <w:trHeight w:val="202"/>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20,904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6,586</w:t>
            </w: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(163,341)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(163,255)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(112,905)</w:t>
            </w:r>
          </w:p>
        </w:tc>
        <w:tc>
          <w:tcPr>
            <w:tcW w:w="0" w:type="dxa"/>
            <w:vAlign w:val="bottom"/>
          </w:tcPr>
          <w:p>
            <w:pPr>
              <w:spacing w:after="0"/>
              <w:rPr>
                <w:sz w:val="1"/>
                <w:szCs w:val="1"/>
                <w:color w:val="auto"/>
              </w:rPr>
            </w:pPr>
          </w:p>
        </w:tc>
      </w:tr>
      <w:tr>
        <w:trPr>
          <w:trHeight w:val="195"/>
        </w:trPr>
        <w:tc>
          <w:tcPr>
            <w:tcW w:w="688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(155,372)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(262,751)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(157,280)</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3,313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195"/>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6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(152,054)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(266,064)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(159,750)</w:t>
            </w: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(44,880)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(38,414)</w:t>
            </w:r>
          </w:p>
        </w:tc>
        <w:tc>
          <w:tcPr>
            <w:tcW w:w="0" w:type="dxa"/>
            <w:vAlign w:val="bottom"/>
          </w:tcPr>
          <w:p>
            <w:pPr>
              <w:spacing w:after="0"/>
              <w:rPr>
                <w:sz w:val="1"/>
                <w:szCs w:val="1"/>
                <w:color w:val="auto"/>
              </w:rPr>
            </w:pPr>
          </w:p>
        </w:tc>
      </w:tr>
      <w:tr>
        <w:trPr>
          <w:trHeight w:val="201"/>
        </w:trPr>
        <w:tc>
          <w:tcPr>
            <w:tcW w:w="6880" w:type="dxa"/>
            <w:vAlign w:val="bottom"/>
          </w:tcPr>
          <w:p>
            <w:pPr>
              <w:ind w:left="20"/>
              <w:spacing w:after="0"/>
              <w:rPr>
                <w:sz w:val="20"/>
                <w:szCs w:val="20"/>
                <w:color w:val="auto"/>
              </w:rPr>
            </w:pPr>
            <w:r>
              <w:rPr>
                <w:rFonts w:ascii="Arial" w:cs="Arial" w:eastAsia="Arial" w:hAnsi="Arial"/>
                <w:sz w:val="14"/>
                <w:szCs w:val="14"/>
                <w:color w:val="auto"/>
              </w:rPr>
              <w:t>Less: Preferred dividends and accretion on redeemable non-controlling interests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44,607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and accretion of redeemable preferred stock</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55,622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70,814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62,400</w:t>
            </w:r>
          </w:p>
        </w:tc>
        <w:tc>
          <w:tcPr>
            <w:tcW w:w="0" w:type="dxa"/>
            <w:vAlign w:val="bottom"/>
          </w:tcPr>
          <w:p>
            <w:pPr>
              <w:spacing w:after="0"/>
              <w:rPr>
                <w:sz w:val="1"/>
                <w:szCs w:val="1"/>
                <w:color w:val="auto"/>
              </w:rPr>
            </w:pPr>
          </w:p>
        </w:tc>
      </w:tr>
      <w:tr>
        <w:trPr>
          <w:trHeight w:val="133"/>
        </w:trPr>
        <w:tc>
          <w:tcPr>
            <w:tcW w:w="68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Net loss attributable to stockholders, before series B preferred stock dividend and loss 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(207,403)</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(294,459)</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(183,736)</w:t>
            </w:r>
          </w:p>
        </w:tc>
        <w:tc>
          <w:tcPr>
            <w:tcW w:w="0" w:type="dxa"/>
            <w:vAlign w:val="bottom"/>
          </w:tcPr>
          <w:p>
            <w:pPr>
              <w:spacing w:after="0"/>
              <w:rPr>
                <w:sz w:val="1"/>
                <w:szCs w:val="1"/>
                <w:color w:val="auto"/>
              </w:rPr>
            </w:pPr>
          </w:p>
        </w:tc>
      </w:tr>
      <w:tr>
        <w:trPr>
          <w:trHeight w:val="163"/>
        </w:trPr>
        <w:tc>
          <w:tcPr>
            <w:tcW w:w="688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extinguishment of preferred stock</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88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common stockholders</w:t>
            </w:r>
          </w:p>
        </w:tc>
        <w:tc>
          <w:tcPr>
            <w:tcW w:w="680" w:type="dxa"/>
            <w:vAlign w:val="bottom"/>
          </w:tcPr>
          <w:p>
            <w:pPr>
              <w:jc w:val="center"/>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(260,406)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(294,459)</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(183,736)</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880" w:type="dxa"/>
            <w:vAlign w:val="bottom"/>
          </w:tcPr>
          <w:p>
            <w:pPr>
              <w:ind w:left="20"/>
              <w:spacing w:after="0"/>
              <w:rPr>
                <w:sz w:val="20"/>
                <w:szCs w:val="20"/>
                <w:color w:val="auto"/>
              </w:rPr>
            </w:pPr>
            <w:r>
              <w:rPr>
                <w:rFonts w:ascii="Arial" w:cs="Arial" w:eastAsia="Arial" w:hAnsi="Arial"/>
                <w:sz w:val="14"/>
                <w:szCs w:val="14"/>
                <w:b w:val="1"/>
                <w:bCs w:val="1"/>
                <w:color w:val="auto"/>
              </w:rPr>
              <w:t>Loss per share:</w:t>
            </w:r>
          </w:p>
        </w:tc>
        <w:tc>
          <w:tcPr>
            <w:tcW w:w="680" w:type="dxa"/>
            <w:vAlign w:val="bottom"/>
          </w:tcPr>
          <w:p>
            <w:pPr>
              <w:jc w:val="center"/>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2"/>
        </w:trPr>
        <w:tc>
          <w:tcPr>
            <w:tcW w:w="688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80" w:type="dxa"/>
            <w:vAlign w:val="bottom"/>
          </w:tcPr>
          <w:p>
            <w:pPr>
              <w:ind w:left="20"/>
              <w:spacing w:after="0"/>
              <w:rPr>
                <w:sz w:val="20"/>
                <w:szCs w:val="20"/>
                <w:color w:val="auto"/>
              </w:rPr>
            </w:pPr>
            <w:r>
              <w:rPr>
                <w:rFonts w:ascii="Arial" w:cs="Arial" w:eastAsia="Arial" w:hAnsi="Arial"/>
                <w:sz w:val="14"/>
                <w:szCs w:val="14"/>
                <w:color w:val="auto"/>
              </w:rPr>
              <w:t>Basic</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115,214,910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108,217,871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102,960,812</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115,214,910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108,217,871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102,960,812</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COMPREHENSIVE (LOSS)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thousands)</w:t>
      </w: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196"/>
        </w:trPr>
        <w:tc>
          <w:tcPr>
            <w:tcW w:w="6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r>
      <w:tr>
        <w:trPr>
          <w:trHeight w:val="197"/>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(152,054)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(159,750)</w:t>
            </w:r>
          </w:p>
        </w:tc>
      </w:tr>
      <w:tr>
        <w:trPr>
          <w:trHeight w:val="198"/>
        </w:trPr>
        <w:tc>
          <w:tcPr>
            <w:tcW w:w="692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6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Other comprehensive income (loss) related to derivatives </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70,787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123,845</w:t>
            </w:r>
          </w:p>
        </w:tc>
      </w:tr>
      <w:tr>
        <w:trPr>
          <w:trHeight w:val="203"/>
        </w:trPr>
        <w:tc>
          <w:tcPr>
            <w:tcW w:w="69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4"/>
                <w:szCs w:val="14"/>
                <w:color w:val="auto"/>
              </w:rPr>
              <w:t xml:space="preserve">Changes in pension and other employee benefit accounts </w:t>
            </w:r>
            <w:r>
              <w:rPr>
                <w:rFonts w:ascii="Arial" w:cs="Arial" w:eastAsia="Arial" w:hAnsi="Arial"/>
                <w:sz w:val="18"/>
                <w:szCs w:val="18"/>
                <w:color w:val="auto"/>
                <w:vertAlign w:val="superscript"/>
              </w:rPr>
              <w:t>(2)</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(4,354)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23,987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w:t>
            </w:r>
          </w:p>
        </w:tc>
      </w:tr>
      <w:tr>
        <w:trPr>
          <w:trHeight w:val="196"/>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comprehensive income</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66,433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21,464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121,618</w:t>
            </w:r>
          </w:p>
        </w:tc>
      </w:tr>
      <w:tr>
        <w:trPr>
          <w:trHeight w:val="195"/>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(85,621)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(244,600)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(38,132)</w:t>
            </w: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non-controlling interests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(44,880)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(42,419)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(38,414)</w:t>
            </w:r>
          </w:p>
        </w:tc>
      </w:tr>
      <w:tr>
        <w:trPr>
          <w:trHeight w:val="197"/>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Comprehensive (loss) income attributable to stockholders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(40,741)</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(202,181)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64"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Net of deferred tax expense of $9.2 million, $— million and $— million for the years ended December 31, 2025, 2024 and 2023, respectively.</w:t>
      </w:r>
    </w:p>
    <w:p>
      <w:pPr>
        <w:spacing w:after="0" w:line="5"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Net of deferred tax expense of $— million, $1.9 million and $— million for the years ended December 31, 2025, 2024 and 2023, respectively.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CHANGES IN EQUITY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thousands)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Interests in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Equity of</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Paid in</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911,599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(60,837)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(300,133)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(26,829)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524,794</w:t>
            </w:r>
          </w:p>
        </w:tc>
        <w:tc>
          <w:tcPr>
            <w:tcW w:w="0" w:type="dxa"/>
            <w:vAlign w:val="bottom"/>
          </w:tcPr>
          <w:p>
            <w:pPr>
              <w:spacing w:after="0"/>
              <w:rPr>
                <w:sz w:val="1"/>
                <w:szCs w:val="1"/>
                <w:color w:val="auto"/>
              </w:rPr>
            </w:pPr>
          </w:p>
        </w:tc>
      </w:tr>
      <w:tr>
        <w:trPr>
          <w:trHeight w:val="192"/>
        </w:trPr>
        <w:tc>
          <w:tcPr>
            <w:tcW w:w="37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(121,336)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(38,414)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(159,750)</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121,618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121,618</w:t>
            </w:r>
          </w:p>
        </w:tc>
        <w:tc>
          <w:tcPr>
            <w:tcW w:w="0" w:type="dxa"/>
            <w:vAlign w:val="bottom"/>
          </w:tcPr>
          <w:p>
            <w:pPr>
              <w:spacing w:after="0"/>
              <w:rPr>
                <w:sz w:val="1"/>
                <w:szCs w:val="1"/>
                <w:color w:val="auto"/>
              </w:rPr>
            </w:pPr>
          </w:p>
        </w:tc>
      </w:tr>
      <w:tr>
        <w:trPr>
          <w:trHeight w:val="192"/>
        </w:trPr>
        <w:tc>
          <w:tcPr>
            <w:tcW w:w="374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(121,336)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121,618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(38,414)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(38,132)</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subsidiary</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(4,448)</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Dividends and accretion of redeemable preferred stock</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(62,400)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(62,400)</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on common stock</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(12,372)</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Settlement of equity-based compensation</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(2,163)</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9,199</w:t>
            </w:r>
          </w:p>
        </w:tc>
        <w:tc>
          <w:tcPr>
            <w:tcW w:w="0" w:type="dxa"/>
            <w:vAlign w:val="bottom"/>
          </w:tcPr>
          <w:p>
            <w:pPr>
              <w:spacing w:after="0"/>
              <w:rPr>
                <w:sz w:val="1"/>
                <w:szCs w:val="1"/>
                <w:color w:val="auto"/>
              </w:rPr>
            </w:pPr>
          </w:p>
        </w:tc>
      </w:tr>
      <w:tr>
        <w:trPr>
          <w:trHeight w:val="19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Equity - December 31,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843,971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(182,173)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(178,515)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(71,430)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412,859</w:t>
            </w:r>
          </w:p>
        </w:tc>
        <w:tc>
          <w:tcPr>
            <w:tcW w:w="0" w:type="dxa"/>
            <w:vAlign w:val="bottom"/>
          </w:tcPr>
          <w:p>
            <w:pPr>
              <w:spacing w:after="0"/>
              <w:rPr>
                <w:sz w:val="1"/>
                <w:szCs w:val="1"/>
                <w:color w:val="auto"/>
              </w:rPr>
            </w:pPr>
          </w:p>
        </w:tc>
      </w:tr>
      <w:tr>
        <w:trPr>
          <w:trHeight w:val="19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(266,064)</w:t>
            </w:r>
          </w:p>
        </w:tc>
        <w:tc>
          <w:tcPr>
            <w:tcW w:w="0" w:type="dxa"/>
            <w:vAlign w:val="bottom"/>
          </w:tcPr>
          <w:p>
            <w:pPr>
              <w:spacing w:after="0"/>
              <w:rPr>
                <w:sz w:val="1"/>
                <w:szCs w:val="1"/>
                <w:color w:val="auto"/>
              </w:rPr>
            </w:pPr>
          </w:p>
        </w:tc>
      </w:tr>
      <w:tr>
        <w:trPr>
          <w:trHeight w:val="198"/>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21,464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21,464</w:t>
            </w:r>
          </w:p>
        </w:tc>
        <w:tc>
          <w:tcPr>
            <w:tcW w:w="0" w:type="dxa"/>
            <w:vAlign w:val="bottom"/>
          </w:tcPr>
          <w:p>
            <w:pPr>
              <w:spacing w:after="0"/>
              <w:rPr>
                <w:sz w:val="1"/>
                <w:szCs w:val="1"/>
                <w:color w:val="auto"/>
              </w:rPr>
            </w:pPr>
          </w:p>
        </w:tc>
      </w:tr>
      <w:tr>
        <w:trPr>
          <w:trHeight w:val="200"/>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income</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(244,600)</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(15,039)</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Dividends and accretion of redeemable preferred stock</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(70,814)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(70,814)</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on common stock</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(13,124)</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Settlement of equity-based compensation</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8,636</w:t>
            </w:r>
          </w:p>
        </w:tc>
        <w:tc>
          <w:tcPr>
            <w:tcW w:w="0" w:type="dxa"/>
            <w:vAlign w:val="bottom"/>
          </w:tcPr>
          <w:p>
            <w:pPr>
              <w:spacing w:after="0"/>
              <w:rPr>
                <w:sz w:val="1"/>
                <w:szCs w:val="1"/>
                <w:color w:val="auto"/>
              </w:rPr>
            </w:pPr>
          </w:p>
        </w:tc>
      </w:tr>
      <w:tr>
        <w:trPr>
          <w:trHeight w:val="19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Equity - December 31, 2024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764,381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(405,818)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(157,051)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(127,513)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75,138</w:t>
            </w:r>
          </w:p>
        </w:tc>
        <w:tc>
          <w:tcPr>
            <w:tcW w:w="0" w:type="dxa"/>
            <w:vAlign w:val="bottom"/>
          </w:tcPr>
          <w:p>
            <w:pPr>
              <w:spacing w:after="0"/>
              <w:rPr>
                <w:sz w:val="1"/>
                <w:szCs w:val="1"/>
                <w:color w:val="auto"/>
              </w:rPr>
            </w:pPr>
          </w:p>
        </w:tc>
      </w:tr>
      <w:tr>
        <w:trPr>
          <w:trHeight w:val="19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(107,174)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(44,880)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(152,054)</w:t>
            </w:r>
          </w:p>
        </w:tc>
        <w:tc>
          <w:tcPr>
            <w:tcW w:w="0" w:type="dxa"/>
            <w:vAlign w:val="bottom"/>
          </w:tcPr>
          <w:p>
            <w:pPr>
              <w:spacing w:after="0"/>
              <w:rPr>
                <w:sz w:val="1"/>
                <w:szCs w:val="1"/>
                <w:color w:val="auto"/>
              </w:rPr>
            </w:pPr>
          </w:p>
        </w:tc>
      </w:tr>
      <w:tr>
        <w:trPr>
          <w:trHeight w:val="202"/>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66,433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66,433</w:t>
            </w:r>
          </w:p>
        </w:tc>
        <w:tc>
          <w:tcPr>
            <w:tcW w:w="0" w:type="dxa"/>
            <w:vAlign w:val="bottom"/>
          </w:tcPr>
          <w:p>
            <w:pPr>
              <w:spacing w:after="0"/>
              <w:rPr>
                <w:sz w:val="1"/>
                <w:szCs w:val="1"/>
                <w:color w:val="auto"/>
              </w:rPr>
            </w:pPr>
          </w:p>
        </w:tc>
      </w:tr>
      <w:tr>
        <w:trPr>
          <w:trHeight w:val="19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income</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(107,174)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66,433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(44,880)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(85,621)</w:t>
            </w:r>
          </w:p>
        </w:tc>
        <w:tc>
          <w:tcPr>
            <w:tcW w:w="0" w:type="dxa"/>
            <w:vAlign w:val="bottom"/>
          </w:tcPr>
          <w:p>
            <w:pPr>
              <w:spacing w:after="0"/>
              <w:rPr>
                <w:sz w:val="1"/>
                <w:szCs w:val="1"/>
                <w:color w:val="auto"/>
              </w:rPr>
            </w:pPr>
          </w:p>
        </w:tc>
      </w:tr>
      <w:tr>
        <w:trPr>
          <w:trHeight w:val="202"/>
        </w:trPr>
        <w:tc>
          <w:tcPr>
            <w:tcW w:w="374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(1,314)</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2,716</w:t>
            </w:r>
          </w:p>
        </w:tc>
        <w:tc>
          <w:tcPr>
            <w:tcW w:w="0" w:type="dxa"/>
            <w:vAlign w:val="bottom"/>
          </w:tcPr>
          <w:p>
            <w:pPr>
              <w:spacing w:after="0"/>
              <w:rPr>
                <w:sz w:val="1"/>
                <w:szCs w:val="1"/>
                <w:color w:val="auto"/>
              </w:rPr>
            </w:pPr>
          </w:p>
        </w:tc>
      </w:tr>
      <w:tr>
        <w:trPr>
          <w:trHeight w:val="202"/>
        </w:trPr>
        <w:tc>
          <w:tcPr>
            <w:tcW w:w="3740" w:type="dxa"/>
            <w:vAlign w:val="bottom"/>
          </w:tcPr>
          <w:p>
            <w:pPr>
              <w:ind w:left="20"/>
              <w:spacing w:after="0"/>
              <w:rPr>
                <w:sz w:val="20"/>
                <w:szCs w:val="20"/>
                <w:color w:val="auto"/>
              </w:rPr>
            </w:pPr>
            <w:r>
              <w:rPr>
                <w:rFonts w:ascii="Arial" w:cs="Arial" w:eastAsia="Arial" w:hAnsi="Arial"/>
                <w:sz w:val="14"/>
                <w:szCs w:val="14"/>
                <w:color w:val="auto"/>
              </w:rPr>
              <w:t>Issuance of warrants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1,012</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Manager options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7,358</w:t>
            </w:r>
          </w:p>
        </w:tc>
        <w:tc>
          <w:tcPr>
            <w:tcW w:w="0" w:type="dxa"/>
            <w:vAlign w:val="bottom"/>
          </w:tcPr>
          <w:p>
            <w:pPr>
              <w:spacing w:after="0"/>
              <w:rPr>
                <w:sz w:val="1"/>
                <w:szCs w:val="1"/>
                <w:color w:val="auto"/>
              </w:rPr>
            </w:pPr>
          </w:p>
        </w:tc>
      </w:tr>
      <w:tr>
        <w:trPr>
          <w:trHeight w:val="202"/>
        </w:trPr>
        <w:tc>
          <w:tcPr>
            <w:tcW w:w="3740" w:type="dxa"/>
            <w:vAlign w:val="bottom"/>
          </w:tcPr>
          <w:p>
            <w:pPr>
              <w:ind w:left="20"/>
              <w:spacing w:after="0"/>
              <w:rPr>
                <w:sz w:val="20"/>
                <w:szCs w:val="20"/>
                <w:color w:val="auto"/>
              </w:rPr>
            </w:pPr>
            <w:r>
              <w:rPr>
                <w:rFonts w:ascii="Arial" w:cs="Arial" w:eastAsia="Arial" w:hAnsi="Arial"/>
                <w:sz w:val="14"/>
                <w:szCs w:val="14"/>
                <w:color w:val="auto"/>
              </w:rPr>
              <w:t>Loss on extinguishment of preferred stock</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(36,646)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(36,646)</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and accretion of redeemable preferred stock</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(100,229)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(100,229)</w:t>
            </w:r>
          </w:p>
        </w:tc>
        <w:tc>
          <w:tcPr>
            <w:tcW w:w="0" w:type="dxa"/>
            <w:vAlign w:val="bottom"/>
          </w:tcPr>
          <w:p>
            <w:pPr>
              <w:spacing w:after="0"/>
              <w:rPr>
                <w:sz w:val="1"/>
                <w:szCs w:val="1"/>
                <w:color w:val="auto"/>
              </w:rPr>
            </w:pPr>
          </w:p>
        </w:tc>
      </w:tr>
      <w:tr>
        <w:trPr>
          <w:trHeight w:val="202"/>
        </w:trPr>
        <w:tc>
          <w:tcPr>
            <w:tcW w:w="3740" w:type="dxa"/>
            <w:vAlign w:val="bottom"/>
          </w:tcPr>
          <w:p>
            <w:pPr>
              <w:ind w:left="20"/>
              <w:spacing w:after="0"/>
              <w:rPr>
                <w:sz w:val="20"/>
                <w:szCs w:val="20"/>
                <w:color w:val="auto"/>
              </w:rPr>
            </w:pPr>
            <w:r>
              <w:rPr>
                <w:rFonts w:ascii="Arial" w:cs="Arial" w:eastAsia="Arial" w:hAnsi="Arial"/>
                <w:sz w:val="14"/>
                <w:szCs w:val="14"/>
                <w:color w:val="auto"/>
              </w:rPr>
              <w:t>Dividends declared on common stock</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(13,831)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(13,831)</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 instruments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(6,050)</w:t>
            </w:r>
          </w:p>
        </w:tc>
        <w:tc>
          <w:tcPr>
            <w:tcW w:w="0" w:type="dxa"/>
            <w:vAlign w:val="bottom"/>
          </w:tcPr>
          <w:p>
            <w:pPr>
              <w:spacing w:after="0"/>
              <w:rPr>
                <w:sz w:val="1"/>
                <w:szCs w:val="1"/>
                <w:color w:val="auto"/>
              </w:rPr>
            </w:pPr>
          </w:p>
        </w:tc>
      </w:tr>
      <w:tr>
        <w:trPr>
          <w:trHeight w:val="202"/>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3,140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8,090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11,230</w:t>
            </w:r>
          </w:p>
        </w:tc>
        <w:tc>
          <w:tcPr>
            <w:tcW w:w="0" w:type="dxa"/>
            <w:vAlign w:val="bottom"/>
          </w:tcPr>
          <w:p>
            <w:pPr>
              <w:spacing w:after="0"/>
              <w:rPr>
                <w:sz w:val="1"/>
                <w:szCs w:val="1"/>
                <w:color w:val="auto"/>
              </w:rPr>
            </w:pPr>
          </w:p>
        </w:tc>
      </w:tr>
      <w:tr>
        <w:trPr>
          <w:trHeight w:val="222"/>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623,771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(512,992)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(90,618)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(167,561)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(146,237)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thousands)</w:t>
      </w: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84"/>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1"/>
        </w:trPr>
        <w:tc>
          <w:tcPr>
            <w:tcW w:w="67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(152,054)</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(266,064)</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(159,750)</w:t>
            </w: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cash provided by (used in)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1"/>
        </w:trPr>
        <w:tc>
          <w:tcPr>
            <w:tcW w:w="6720" w:type="dxa"/>
            <w:vAlign w:val="bottom"/>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(12,303)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55,496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24,707</w:t>
            </w: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subsidiaries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(128,921)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6720" w:type="dxa"/>
            <w:vAlign w:val="bottom"/>
          </w:tcPr>
          <w:p>
            <w:pPr>
              <w:ind w:left="20"/>
              <w:spacing w:after="0"/>
              <w:rPr>
                <w:sz w:val="20"/>
                <w:szCs w:val="20"/>
                <w:color w:val="auto"/>
              </w:rPr>
            </w:pPr>
            <w:r>
              <w:rPr>
                <w:rFonts w:ascii="Arial" w:cs="Arial" w:eastAsia="Arial" w:hAnsi="Arial"/>
                <w:sz w:val="14"/>
                <w:szCs w:val="14"/>
                <w:color w:val="auto"/>
              </w:rPr>
              <w:t>Loss (gain) on sale of assets, net</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79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(6,855)</w:t>
            </w: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modification or extinguishment of debt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59,323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w:t>
            </w:r>
          </w:p>
        </w:tc>
      </w:tr>
      <w:tr>
        <w:trPr>
          <w:trHeight w:val="201"/>
        </w:trPr>
        <w:tc>
          <w:tcPr>
            <w:tcW w:w="6720" w:type="dxa"/>
            <w:vAlign w:val="bottom"/>
          </w:tcPr>
          <w:p>
            <w:pPr>
              <w:ind w:left="20"/>
              <w:spacing w:after="0"/>
              <w:rPr>
                <w:sz w:val="20"/>
                <w:szCs w:val="20"/>
                <w:color w:val="auto"/>
              </w:rPr>
            </w:pPr>
            <w:r>
              <w:rPr>
                <w:rFonts w:ascii="Arial" w:cs="Arial" w:eastAsia="Arial" w:hAnsi="Arial"/>
                <w:sz w:val="14"/>
                <w:szCs w:val="14"/>
                <w:color w:val="auto"/>
              </w:rPr>
              <w:t>Gain on sale of easement</w:t>
            </w:r>
          </w:p>
        </w:tc>
        <w:tc>
          <w:tcPr>
            <w:tcW w:w="3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11,076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9,199</w:t>
            </w:r>
          </w:p>
        </w:tc>
      </w:tr>
      <w:tr>
        <w:trPr>
          <w:trHeight w:val="201"/>
        </w:trPr>
        <w:tc>
          <w:tcPr>
            <w:tcW w:w="67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132,489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79,410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80,992</w:t>
            </w: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4,401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r>
      <w:tr>
        <w:trPr>
          <w:trHeight w:val="201"/>
        </w:trPr>
        <w:tc>
          <w:tcPr>
            <w:tcW w:w="6720" w:type="dxa"/>
            <w:vAlign w:val="bottom"/>
          </w:tcPr>
          <w:p>
            <w:pPr>
              <w:ind w:left="20"/>
              <w:spacing w:after="0"/>
              <w:rPr>
                <w:sz w:val="20"/>
                <w:szCs w:val="20"/>
                <w:color w:val="auto"/>
              </w:rPr>
            </w:pPr>
            <w:r>
              <w:rPr>
                <w:rFonts w:ascii="Arial" w:cs="Arial" w:eastAsia="Arial" w:hAnsi="Arial"/>
                <w:sz w:val="14"/>
                <w:szCs w:val="14"/>
                <w:color w:val="auto"/>
              </w:rPr>
              <w:t>Change in deferred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(5,764)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non-hedge derivatives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w:t>
            </w:r>
          </w:p>
        </w:tc>
      </w:tr>
      <w:tr>
        <w:trPr>
          <w:trHeight w:val="201"/>
        </w:trPr>
        <w:tc>
          <w:tcPr>
            <w:tcW w:w="6720" w:type="dxa"/>
            <w:vAlign w:val="bottom"/>
          </w:tcPr>
          <w:p>
            <w:pPr>
              <w:ind w:left="20"/>
              <w:spacing w:after="0"/>
              <w:rPr>
                <w:sz w:val="20"/>
                <w:szCs w:val="20"/>
                <w:color w:val="auto"/>
              </w:rPr>
            </w:pPr>
            <w:r>
              <w:rPr>
                <w:rFonts w:ascii="Arial" w:cs="Arial" w:eastAsia="Arial" w:hAnsi="Arial"/>
                <w:sz w:val="14"/>
                <w:szCs w:val="14"/>
                <w:color w:val="auto"/>
              </w:rPr>
              <w:t>Change in fair value of warrants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(4,234)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10,988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6,769</w:t>
            </w:r>
          </w:p>
        </w:tc>
      </w:tr>
      <w:tr>
        <w:trPr>
          <w:trHeight w:val="201"/>
        </w:trPr>
        <w:tc>
          <w:tcPr>
            <w:tcW w:w="6720" w:type="dxa"/>
            <w:vAlign w:val="bottom"/>
          </w:tcPr>
          <w:p>
            <w:pPr>
              <w:ind w:left="20"/>
              <w:spacing w:after="0"/>
              <w:rPr>
                <w:sz w:val="20"/>
                <w:szCs w:val="20"/>
                <w:color w:val="auto"/>
              </w:rPr>
            </w:pPr>
            <w:r>
              <w:rPr>
                <w:rFonts w:ascii="Arial" w:cs="Arial" w:eastAsia="Arial" w:hAnsi="Arial"/>
                <w:sz w:val="14"/>
                <w:szCs w:val="14"/>
                <w:color w:val="auto"/>
              </w:rPr>
              <w:t>Amortization of bond discount</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23,336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4,853</w:t>
            </w: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other comprehensive income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(20,092)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6720" w:type="dxa"/>
            <w:vAlign w:val="bottom"/>
          </w:tcPr>
          <w:p>
            <w:pPr>
              <w:ind w:left="20"/>
              <w:spacing w:after="0"/>
              <w:rPr>
                <w:sz w:val="20"/>
                <w:szCs w:val="20"/>
                <w:color w:val="auto"/>
              </w:rPr>
            </w:pPr>
            <w:r>
              <w:rPr>
                <w:rFonts w:ascii="Arial" w:cs="Arial" w:eastAsia="Arial" w:hAnsi="Arial"/>
                <w:sz w:val="14"/>
                <w:szCs w:val="14"/>
                <w:color w:val="auto"/>
              </w:rPr>
              <w:t>Paid-in-kind interest expense</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5,829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(recovery) credit losses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w:t>
            </w:r>
          </w:p>
        </w:tc>
      </w:tr>
      <w:tr>
        <w:trPr>
          <w:trHeight w:val="198"/>
        </w:trPr>
        <w:tc>
          <w:tcPr>
            <w:tcW w:w="6720" w:type="dxa"/>
            <w:vAlign w:val="bottom"/>
          </w:tcPr>
          <w:p>
            <w:pPr>
              <w:ind w:left="20"/>
              <w:spacing w:after="0"/>
              <w:rPr>
                <w:sz w:val="20"/>
                <w:szCs w:val="20"/>
                <w:color w:val="auto"/>
              </w:rPr>
            </w:pPr>
            <w:r>
              <w:rPr>
                <w:rFonts w:ascii="Arial" w:cs="Arial" w:eastAsia="Arial" w:hAnsi="Arial"/>
                <w:sz w:val="14"/>
                <w:szCs w:val="14"/>
                <w:color w:val="auto"/>
              </w:rPr>
              <w:t>Change in:</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6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(9,920)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w:t>
            </w:r>
          </w:p>
        </w:tc>
      </w:tr>
      <w:tr>
        <w:trPr>
          <w:trHeight w:val="201"/>
        </w:trPr>
        <w:tc>
          <w:tcPr>
            <w:tcW w:w="6720" w:type="dxa"/>
            <w:vAlign w:val="bottom"/>
          </w:tcPr>
          <w:p>
            <w:pPr>
              <w:ind w:left="120"/>
              <w:spacing w:after="0"/>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(13,282)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25,183</w:t>
            </w:r>
          </w:p>
        </w:tc>
      </w:tr>
      <w:tr>
        <w:trPr>
          <w:trHeight w:val="204"/>
        </w:trPr>
        <w:tc>
          <w:tcPr>
            <w:tcW w:w="6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 and accrued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51,745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8,553</w:t>
            </w:r>
          </w:p>
        </w:tc>
      </w:tr>
      <w:tr>
        <w:trPr>
          <w:trHeight w:val="201"/>
        </w:trPr>
        <w:tc>
          <w:tcPr>
            <w:tcW w:w="6720" w:type="dxa"/>
            <w:vAlign w:val="bottom"/>
          </w:tcPr>
          <w:p>
            <w:pPr>
              <w:ind w:left="120"/>
              <w:spacing w:after="0"/>
              <w:rPr>
                <w:sz w:val="20"/>
                <w:szCs w:val="20"/>
                <w:color w:val="auto"/>
              </w:rPr>
            </w:pPr>
            <w:r>
              <w:rPr>
                <w:rFonts w:ascii="Arial" w:cs="Arial" w:eastAsia="Arial" w:hAnsi="Arial"/>
                <w:sz w:val="14"/>
                <w:szCs w:val="14"/>
                <w:color w:val="auto"/>
              </w:rPr>
              <w:t>Derivative liabilities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(67,006)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6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(3,413)</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w:t>
            </w:r>
          </w:p>
        </w:tc>
      </w:tr>
      <w:tr>
        <w:trPr>
          <w:trHeight w:val="19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(118,008)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(15,278)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5,513</w:t>
            </w:r>
          </w:p>
        </w:tc>
      </w:tr>
      <w:tr>
        <w:trPr>
          <w:trHeight w:val="251"/>
        </w:trPr>
        <w:tc>
          <w:tcPr>
            <w:tcW w:w="6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(18,548)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(7,077)</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(856,644)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(4,448)</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(280,526)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(79,536)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(99,022)</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investor loan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11,001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Investment in promissory notes</w:t>
            </w:r>
          </w:p>
        </w:tc>
        <w:tc>
          <w:tcPr>
            <w:tcW w:w="3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(31,438)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(36,044)</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equity instruments</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3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insurance recoveries</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2,775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1,087</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easement</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(1,142,666)</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(118,137)</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thousands)</w:t>
      </w: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8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debt, net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1,794,074</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498,426</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181,350</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(780,364)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(75,131)</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Payment of financing costs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(62,051)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(11,438)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(8,834)</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shares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2,694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issuance of redeemable preferred stock and warrants</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1,000,000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preferred stock issuance costs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(21,197)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Repayment of preferred stock</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(447,121)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Settlement of equity-based compensation</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(6,050)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(2,161)</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common stock</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(13,831)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(12,372)</w:t>
            </w:r>
          </w:p>
        </w:tc>
      </w:tr>
      <w:tr>
        <w:trPr>
          <w:trHeight w:val="202"/>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dividends - redeemable preferred stock</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(25,516)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(1,758)</w:t>
            </w:r>
          </w:p>
        </w:tc>
      </w:tr>
      <w:tr>
        <w:trPr>
          <w:trHeight w:val="19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1,439,324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193,232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79,447</w:t>
            </w:r>
          </w:p>
        </w:tc>
      </w:tr>
      <w:tr>
        <w:trPr>
          <w:trHeight w:val="251"/>
        </w:trPr>
        <w:tc>
          <w:tcPr>
            <w:tcW w:w="6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 and restricted cash and cash equivalents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178,650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(62,163)</w:t>
            </w:r>
          </w:p>
        </w:tc>
      </w:tr>
      <w:tr>
        <w:trPr>
          <w:trHeight w:val="201"/>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and cash equivalents, beginning of period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147,296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87,479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149,642</w:t>
            </w:r>
          </w:p>
        </w:tc>
      </w:tr>
      <w:tr>
        <w:trPr>
          <w:trHeight w:val="22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and cash equivalents,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325,946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87,479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1"/>
        </w:trPr>
        <w:tc>
          <w:tcPr>
            <w:tcW w:w="6720" w:type="dxa"/>
            <w:vAlign w:val="bottom"/>
          </w:tcPr>
          <w:p>
            <w:pPr>
              <w:ind w:left="20"/>
              <w:spacing w:after="0"/>
              <w:rPr>
                <w:sz w:val="20"/>
                <w:szCs w:val="20"/>
                <w:color w:val="auto"/>
              </w:rPr>
            </w:pPr>
            <w:r>
              <w:rPr>
                <w:rFonts w:ascii="Arial" w:cs="Arial" w:eastAsia="Arial" w:hAnsi="Arial"/>
                <w:sz w:val="14"/>
                <w:szCs w:val="14"/>
                <w:color w:val="auto"/>
              </w:rPr>
              <w:t>Cash paid for interest, net of capitalized interest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219,634</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94,396</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88,411</w:t>
            </w:r>
          </w:p>
        </w:tc>
      </w:tr>
      <w:tr>
        <w:trPr>
          <w:trHeight w:val="271"/>
        </w:trPr>
        <w:tc>
          <w:tcPr>
            <w:tcW w:w="67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01"/>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(46,494)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Acquisition of business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(285,977)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and accretion of redeemable preferred stock</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(60,642)</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Dividends and accretion of redeemable preferred stock - NCI</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(44,607)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fees</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 ORGANIZATION</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FTAI Infrastructure Inc. (“we”, “us”, “our”, or the “Company”) is a Delaware corporation and was originally formed as a limited liability company on December 13, 2021 in connection with the spin-off of the infrastructure business (“FTAI Infrastructure”) of FTAI Aviation Ltd. (previously Fortress Transportation and Infrastructure Investors LLC; “FTAI” or “Former Parent”). The Company owns and operates (i) eight freight railroads and one switching company that provide rail service to certain manufacturing and production facilities (“Transtar” and newly acquired “Wheeling” (see Note 3)), (ii) a multi-modal crude oil and refined products terminal in Beaumont, Texas (“Jefferson Terminal”), (iii) a deep-water port located along the Delaware River with an underground storage cavern, a multipurpose dock, a rail-to-ship transloading system and multiple industrial development opportunities (“Repauno”), (iv) a multi-modal terminal located along the Ohio River with multiple industrial development opportunities, including a power plant (“Long Ridge”), and (v) an equity method investment in two ventures developing battery and metal recycling technology (“Aleon” and “Gladieux”). Additionally, we operate a railcar cleaning business (“KRS”) as well as an operating company that provides roadside assistance services for the intermodal and over-the-road trucking industries (“FYX”). We have five reportable segments: (i) Railroad, (ii) Jefferson Terminal, (iii) Repauno, (iv) Power and Gas, and (v) Sustainability and Energy Transition, which all operate in the infrastructure sector (see Note 17).</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 publicly-traded company trading on The Nasdaq Global Select Market under the symbol “FIP.” The Company is headquartered in New York, New York.</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2. BASIS OF PRESENTATION AND SUMMARY OF SIGNIFICANT ACCOUNTING POLICIES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(“U.S. GAAP”) and include the accounts of us and our subsidiaries.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0000"/>
        </w:rPr>
        <w:t>—The preparation of financial statements in conformity with U.S. GAAP requires management to make estimates and assumptions that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Capital market risk is the risk that we are unable to obtain capital at reasonable rates to fund the growth of our business or to refinance existing debt facilities. We do not have significant exposure to foreign currency risk as all of our leasing and revenue arrangements are denominated in U.S. dollars.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Liquidity</w:t>
      </w:r>
      <w:r>
        <w:rPr>
          <w:rFonts w:ascii="Arial" w:cs="Arial" w:eastAsia="Arial" w:hAnsi="Arial"/>
          <w:sz w:val="16"/>
          <w:szCs w:val="16"/>
          <w:color w:val="000000"/>
        </w:rPr>
        <w:t>—Subsequent to September 30, 2025, we have (i) refinanced the Bridge Loan Credit Agreement with the Term Loan Credit Agreement (see Note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21 for additional details), (ii) paid down the Jefferson June 2025 Credit Agreement and (iii) entered into a binding Commitment Agreement (the “Backstop Agreement”) dated March 16, 2026, pursuant to which we may, at our sole option, on or prior to July 1, 2026, elect to borrow from a lender funds in an aggregate principal amount of $255 million pursuant to a bridge facility that will have a maturity date which is 364 days after the close of such bridge facility (see Note 21 for additional details). As disclosed in Note 8, the Company has significant debt obligations, which it continues to actively manage. As part of our evaluation under ASC 205-40, management reviewed its forecasted cash flows including debt maturities over the next 12 months and concluded that the Company’s current liquidity, forecasted cash flows from operations and completed financing transactions are not sufficient to allow the Company to meet its obligations as they become due including repayment of the $218 million Jefferson Taxable Series 2024B Bonds upon their maturity (see Note 8 for additional detail). While management intends to refinance the $218 million Jefferson Taxable Series 2024B Bonds with long term financing, if such plans are not met, the Company would draw on the Backstop Agreement to pay off the Jefferson Taxable Series 2024B Bonds due July 1, 2026. Additionally, management’s plan includes exercising existing contractual options to extend the DRP DB Term Loan of $106 million, the first tranche of EB-5 Loan Agreement of $26 million, and the second tranche of EB-5 Loan Agreement of $9.7 million that will extend maturities to May 30, 2028, January 25, 2028, and March 11, 2028, respectively. Management concluded that such plans are probable of being implemented and the Company will have sufficient liquidity to meet its obligations as they become due over the next twelve months from the date that the consolidated financial statements were issued. Management will continue to evaluate its liquidity and financial position and update future plans accordingly.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Delaware River Partners LLC</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an approximately 98% economic interest, and a 100% voting interest in DRP. Prior to the completion of our debt offering at Repauno in May 2025 (refer to Note 8 for additional details), DRP was solely reliant on us to finance its activities and therefore was a VIE. We concluded that we were the primary beneficiary and, accordingly, DRP has been presented on a consolidated basis in the accompanying consolidated financial statements. Total VIE assets of DRP were $341.6 million, and total VIE liabilities of DRP were $88.5 million as of December 31, 2024. Due to the debt offering at Repauno in May 2025, Repauno is sufficiently capitalized, and therefore, is no longer considered a VIE; this change in classification does not have a financial impact on the Company’s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9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Restricted Cash and Cash Equivalents</w:t>
      </w:r>
      <w:r>
        <w:rPr>
          <w:rFonts w:ascii="Arial" w:cs="Arial" w:eastAsia="Arial" w:hAnsi="Arial"/>
          <w:sz w:val="16"/>
          <w:szCs w:val="16"/>
          <w:color w:val="000000"/>
        </w:rPr>
        <w:t>—Restricted cash and cash equivalents consists of cash in money market funds and other permitted highly liquid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short term investments that can be used for principal, interest and project funding pursuant to the requirements of certain of our debt agreements (see Note 8) and other qualifying construction projects.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their estimated useful lives, to estimated residual values which are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0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Asset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Range of Estimated Useful Lives</w:t>
            </w: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97"/>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Railcars and locomotives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40</w:t>
            </w: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- 50 years from date of manufacture</w:t>
            </w: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Scrap value at end of useful life</w:t>
            </w:r>
          </w:p>
        </w:tc>
      </w:tr>
      <w:tr>
        <w:trPr>
          <w:trHeight w:val="198"/>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Track and track related assets</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15</w:t>
            </w:r>
          </w:p>
        </w:tc>
        <w:tc>
          <w:tcPr>
            <w:tcW w:w="3880" w:type="dxa"/>
            <w:vAlign w:val="bottom"/>
            <w:gridSpan w:val="2"/>
          </w:tcPr>
          <w:p>
            <w:pPr>
              <w:ind w:left="20"/>
              <w:spacing w:after="0"/>
              <w:rPr>
                <w:sz w:val="20"/>
                <w:szCs w:val="20"/>
                <w:color w:val="auto"/>
              </w:rPr>
            </w:pPr>
            <w:r>
              <w:rPr>
                <w:rFonts w:ascii="Arial" w:cs="Arial" w:eastAsia="Arial" w:hAnsi="Arial"/>
                <w:sz w:val="14"/>
                <w:szCs w:val="14"/>
                <w:color w:val="auto"/>
              </w:rPr>
              <w:t>- 50 years from date of manufacture</w:t>
            </w:r>
          </w:p>
        </w:tc>
        <w:tc>
          <w:tcPr>
            <w:tcW w:w="3460" w:type="dxa"/>
            <w:vAlign w:val="bottom"/>
          </w:tcPr>
          <w:p>
            <w:pPr>
              <w:spacing w:after="0"/>
              <w:rPr>
                <w:sz w:val="20"/>
                <w:szCs w:val="20"/>
                <w:color w:val="auto"/>
              </w:rPr>
            </w:pPr>
            <w:r>
              <w:rPr>
                <w:rFonts w:ascii="Arial" w:cs="Arial" w:eastAsia="Arial" w:hAnsi="Arial"/>
                <w:sz w:val="14"/>
                <w:szCs w:val="14"/>
                <w:color w:val="auto"/>
              </w:rPr>
              <w:t>Scrap value at end of useful life</w:t>
            </w:r>
          </w:p>
        </w:tc>
      </w:tr>
      <w:tr>
        <w:trPr>
          <w:trHeight w:val="207"/>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40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N/A</w:t>
            </w:r>
          </w:p>
        </w:tc>
      </w:tr>
      <w:tr>
        <w:trPr>
          <w:trHeight w:val="198"/>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Bridges and tunnels</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15</w:t>
            </w:r>
          </w:p>
        </w:tc>
        <w:tc>
          <w:tcPr>
            <w:tcW w:w="3880" w:type="dxa"/>
            <w:vAlign w:val="bottom"/>
            <w:gridSpan w:val="2"/>
          </w:tcPr>
          <w:p>
            <w:pPr>
              <w:ind w:left="20"/>
              <w:spacing w:after="0"/>
              <w:rPr>
                <w:sz w:val="20"/>
                <w:szCs w:val="20"/>
                <w:color w:val="auto"/>
              </w:rPr>
            </w:pPr>
            <w:r>
              <w:rPr>
                <w:rFonts w:ascii="Arial" w:cs="Arial" w:eastAsia="Arial" w:hAnsi="Arial"/>
                <w:sz w:val="14"/>
                <w:szCs w:val="14"/>
                <w:color w:val="auto"/>
              </w:rPr>
              <w:t>- 55 years</w:t>
            </w:r>
          </w:p>
        </w:tc>
        <w:tc>
          <w:tcPr>
            <w:tcW w:w="3460" w:type="dxa"/>
            <w:vAlign w:val="bottom"/>
          </w:tcPr>
          <w:p>
            <w:pPr>
              <w:spacing w:after="0"/>
              <w:rPr>
                <w:sz w:val="20"/>
                <w:szCs w:val="20"/>
                <w:color w:val="auto"/>
              </w:rPr>
            </w:pPr>
            <w:r>
              <w:rPr>
                <w:rFonts w:ascii="Arial" w:cs="Arial" w:eastAsia="Arial" w:hAnsi="Arial"/>
                <w:sz w:val="14"/>
                <w:szCs w:val="14"/>
                <w:color w:val="auto"/>
              </w:rPr>
              <w:t>Scrap value at end of useful life</w:t>
            </w:r>
          </w:p>
        </w:tc>
      </w:tr>
      <w:tr>
        <w:trPr>
          <w:trHeight w:val="207"/>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w:t>
            </w: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- 30 years</w:t>
            </w: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Scrap value at end of useful life</w:t>
            </w:r>
          </w:p>
        </w:tc>
      </w:tr>
      <w:tr>
        <w:trPr>
          <w:trHeight w:val="198"/>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Railroad equipment</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960" w:type="dxa"/>
            <w:vAlign w:val="bottom"/>
            <w:gridSpan w:val="3"/>
          </w:tcPr>
          <w:p>
            <w:pPr>
              <w:ind w:left="20"/>
              <w:spacing w:after="0"/>
              <w:rPr>
                <w:sz w:val="20"/>
                <w:szCs w:val="20"/>
                <w:color w:val="auto"/>
              </w:rPr>
            </w:pPr>
            <w:r>
              <w:rPr>
                <w:rFonts w:ascii="Arial" w:cs="Arial" w:eastAsia="Arial" w:hAnsi="Arial"/>
                <w:sz w:val="14"/>
                <w:szCs w:val="14"/>
                <w:color w:val="auto"/>
              </w:rPr>
              <w:t>- 15 years from date of manufacture</w:t>
            </w:r>
          </w:p>
        </w:tc>
        <w:tc>
          <w:tcPr>
            <w:tcW w:w="3460" w:type="dxa"/>
            <w:vAlign w:val="bottom"/>
          </w:tcPr>
          <w:p>
            <w:pPr>
              <w:spacing w:after="0"/>
              <w:rPr>
                <w:sz w:val="20"/>
                <w:szCs w:val="20"/>
                <w:color w:val="auto"/>
              </w:rPr>
            </w:pPr>
            <w:r>
              <w:rPr>
                <w:rFonts w:ascii="Arial" w:cs="Arial" w:eastAsia="Arial" w:hAnsi="Arial"/>
                <w:sz w:val="14"/>
                <w:szCs w:val="14"/>
                <w:color w:val="auto"/>
              </w:rPr>
              <w:t>Scrap value at end of useful life</w:t>
            </w:r>
          </w:p>
        </w:tc>
      </w:tr>
      <w:tr>
        <w:trPr>
          <w:trHeight w:val="207"/>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Power plant</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- 40 years</w:t>
            </w: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None</w:t>
            </w:r>
          </w:p>
        </w:tc>
      </w:tr>
      <w:tr>
        <w:trPr>
          <w:trHeight w:val="198"/>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Terminal machinery and equipment</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15</w:t>
            </w:r>
          </w:p>
        </w:tc>
        <w:tc>
          <w:tcPr>
            <w:tcW w:w="3880" w:type="dxa"/>
            <w:vAlign w:val="bottom"/>
            <w:gridSpan w:val="2"/>
          </w:tcPr>
          <w:p>
            <w:pPr>
              <w:ind w:left="20"/>
              <w:spacing w:after="0"/>
              <w:rPr>
                <w:sz w:val="20"/>
                <w:szCs w:val="20"/>
                <w:color w:val="auto"/>
              </w:rPr>
            </w:pPr>
            <w:r>
              <w:rPr>
                <w:rFonts w:ascii="Arial" w:cs="Arial" w:eastAsia="Arial" w:hAnsi="Arial"/>
                <w:sz w:val="14"/>
                <w:szCs w:val="14"/>
                <w:color w:val="auto"/>
              </w:rPr>
              <w:t>- 25 years from date of manufacture</w:t>
            </w:r>
          </w:p>
        </w:tc>
        <w:tc>
          <w:tcPr>
            <w:tcW w:w="3460" w:type="dxa"/>
            <w:vAlign w:val="bottom"/>
          </w:tcPr>
          <w:p>
            <w:pPr>
              <w:spacing w:after="0"/>
              <w:rPr>
                <w:sz w:val="20"/>
                <w:szCs w:val="20"/>
                <w:color w:val="auto"/>
              </w:rPr>
            </w:pPr>
            <w:r>
              <w:rPr>
                <w:rFonts w:ascii="Arial" w:cs="Arial" w:eastAsia="Arial" w:hAnsi="Arial"/>
                <w:sz w:val="14"/>
                <w:szCs w:val="14"/>
                <w:color w:val="auto"/>
              </w:rPr>
              <w:t>Scrap value at end of useful life</w:t>
            </w:r>
          </w:p>
        </w:tc>
      </w:tr>
      <w:tr>
        <w:trPr>
          <w:trHeight w:val="207"/>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None</w:t>
            </w:r>
          </w:p>
        </w:tc>
      </w:tr>
      <w:tr>
        <w:trPr>
          <w:trHeight w:val="198"/>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960" w:type="dxa"/>
            <w:vAlign w:val="bottom"/>
            <w:gridSpan w:val="3"/>
          </w:tcPr>
          <w:p>
            <w:pPr>
              <w:ind w:left="20"/>
              <w:spacing w:after="0"/>
              <w:rPr>
                <w:sz w:val="20"/>
                <w:szCs w:val="20"/>
                <w:color w:val="auto"/>
              </w:rPr>
            </w:pPr>
            <w:r>
              <w:rPr>
                <w:rFonts w:ascii="Arial" w:cs="Arial" w:eastAsia="Arial" w:hAnsi="Arial"/>
                <w:sz w:val="14"/>
                <w:szCs w:val="14"/>
                <w:color w:val="auto"/>
              </w:rPr>
              <w:t>- 5 years from date of purchase</w:t>
            </w:r>
          </w:p>
        </w:tc>
        <w:tc>
          <w:tcPr>
            <w:tcW w:w="3460" w:type="dxa"/>
            <w:vAlign w:val="bottom"/>
          </w:tcPr>
          <w:p>
            <w:pPr>
              <w:spacing w:after="0"/>
              <w:rPr>
                <w:sz w:val="20"/>
                <w:szCs w:val="20"/>
                <w:color w:val="auto"/>
              </w:rPr>
            </w:pPr>
            <w:r>
              <w:rPr>
                <w:rFonts w:ascii="Arial" w:cs="Arial" w:eastAsia="Arial" w:hAnsi="Arial"/>
                <w:sz w:val="14"/>
                <w:szCs w:val="14"/>
                <w:color w:val="auto"/>
              </w:rPr>
              <w:t>None</w:t>
            </w:r>
          </w:p>
        </w:tc>
      </w:tr>
      <w:tr>
        <w:trPr>
          <w:trHeight w:val="207"/>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40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N/A</w:t>
            </w:r>
          </w:p>
        </w:tc>
      </w:tr>
    </w:tbl>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Project costs of major additions and betterments, including capitalizable engineering costs and other costs directly related to the development or construction of project, are capitalized and depreciation commences once it is placed into service. Interest costs directly related to and incurred during the construction period of property, plant and equipment are capitalized. Spare parts are depreciated in conjunction with the underlying property, plant and equipment asset when placed in service.</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review our depreciation policies on a regular basis to determine whether changes have taken place that would suggest that a change in our depreciation policies, useful lives of our equipment or the assigned residual values is warranted.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Natural Gas Operations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00497F"/>
        </w:rPr>
        <w:t>Property and Related Depletion</w:t>
      </w:r>
      <w:r>
        <w:rPr>
          <w:rFonts w:ascii="Arial" w:cs="Arial" w:eastAsia="Arial" w:hAnsi="Arial"/>
          <w:sz w:val="16"/>
          <w:szCs w:val="16"/>
          <w:color w:val="000000"/>
        </w:rPr>
        <w:t>—The Company follows the successful efforts method of accounting for costs incurred in the exploration and development of</w:t>
      </w:r>
      <w:r>
        <w:rPr>
          <w:rFonts w:ascii="Arial" w:cs="Arial" w:eastAsia="Arial" w:hAnsi="Arial"/>
          <w:sz w:val="16"/>
          <w:szCs w:val="16"/>
          <w:i w:val="1"/>
          <w:iCs w:val="1"/>
          <w:color w:val="00497F"/>
        </w:rPr>
        <w:t xml:space="preserve"> </w:t>
      </w:r>
      <w:r>
        <w:rPr>
          <w:rFonts w:ascii="Arial" w:cs="Arial" w:eastAsia="Arial" w:hAnsi="Arial"/>
          <w:sz w:val="16"/>
          <w:szCs w:val="16"/>
          <w:color w:val="000000"/>
        </w:rPr>
        <w:t>oil and gas producing activities. All development costs, including lease acquisition costs, are capitalized. The Company capitalizes exploratory drilling costs until a determination is made that the well or project has either found proved reserves or is dry. After an exploratory well has been drilled and found oil and natural gas reserves, a determination may be pending as to whether the oil and natural gas quantities can be classified as proved. In those circumstances, the Company continues to capitalize the drilling costs pending the determination of proved status if (i) the well has found a sufficient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quantity of reserves to justify its completion as a producing well and (ii) the Company is making sufficient progress assessing the reserves and the economic and operating viability of the project. If the exploratory well is determined to be a dry well, the costs are charged to exploration expense. Other exploration costs, including geological and geophysical costs, are expensed as incurred. Capitalized costs are amortized using the unit-of-production method based on total proved reserves.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Oil and gas properties were valued using a discounted cash flow approach incorporating market participant and internally generated price assumptions, production profiles, and operating and development cost assumptions.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00497F"/>
        </w:rPr>
        <w:t>Asset Impairments</w:t>
      </w:r>
      <w:r>
        <w:rPr>
          <w:rFonts w:ascii="Arial" w:cs="Arial" w:eastAsia="Arial" w:hAnsi="Arial"/>
          <w:sz w:val="16"/>
          <w:szCs w:val="16"/>
          <w:color w:val="000000"/>
        </w:rPr>
        <w:t>—Oil and natural gas proved properties periodically are assessed for possible impairment in accordance with ASC Topic 360, Property,</w:t>
      </w:r>
      <w:r>
        <w:rPr>
          <w:rFonts w:ascii="Arial" w:cs="Arial" w:eastAsia="Arial" w:hAnsi="Arial"/>
          <w:sz w:val="16"/>
          <w:szCs w:val="16"/>
          <w:i w:val="1"/>
          <w:iCs w:val="1"/>
          <w:color w:val="00497F"/>
        </w:rPr>
        <w:t xml:space="preserve"> </w:t>
      </w:r>
      <w:r>
        <w:rPr>
          <w:rFonts w:ascii="Arial" w:cs="Arial" w:eastAsia="Arial" w:hAnsi="Arial"/>
          <w:sz w:val="16"/>
          <w:szCs w:val="16"/>
          <w:color w:val="000000"/>
        </w:rPr>
        <w:t>Plant and Equipment. The Company monitors its oil and natural gas properties as well as the market and business environments in which it operates and makes assessments about events that could result in potential impairment issues. Such potential events may include, but are not limited to, commodity price declines, unanticipated increases in operating costs, and lower than expected production performance. If a material event occurs, the Company makes an estimate of undiscounted future cash flows to determine whether the asset is impaired. Impairment losses are recognized when the estimated discounted future cash flows are less than the current net book values of the properties. If the asset is impaired, the Company will record an impairment loss for the difference between the net book value of the properties and the fair value of the properties. The fair value of the properties typically is estimated using discounted cash flows.</w:t>
      </w:r>
    </w:p>
    <w:p>
      <w:pPr>
        <w:spacing w:after="0" w:line="7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also may recognize impairments of capitalized costs for unproved properties in accordance with ASC Topic 932 – Extractive Activities – Oil and Gas. The greatest portion of these costs generally relates to the leasehold acquisitions. The costs are capitalized and periodically evaluated for recoverability, based on changes brought about by exploration activities, changes in economic factors and potential shifts in business strategy.</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Capitalized Interest</w:t>
      </w:r>
      <w:r>
        <w:rPr>
          <w:rFonts w:ascii="Arial" w:cs="Arial" w:eastAsia="Arial" w:hAnsi="Arial"/>
          <w:sz w:val="16"/>
          <w:szCs w:val="16"/>
          <w:color w:val="000000"/>
        </w:rPr>
        <w:t>—The interest cost associated with major development and construction projects is capitalized and included in the cost of the project.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Interest capitalization ceases once a project is substantially complete or no longer undergoing construction activities to prepare it for its intended use. We capitalized interest of $26.0 million, $6.6 million and $5.0 million during the years ended December 31, 2025, 2024 and 2023, respectively.</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Repairs and Maintenance</w:t>
      </w:r>
      <w:r>
        <w:rPr>
          <w:rFonts w:ascii="Arial" w:cs="Arial" w:eastAsia="Arial" w:hAnsi="Arial"/>
          <w:sz w:val="16"/>
          <w:szCs w:val="16"/>
          <w:color w:val="000000"/>
        </w:rPr>
        <w:t>—Repair and maintenance costs that do not extend the lives of the assets are expensed as incurred. Our repairs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maintenance expenses were $26.2 million, $20.1 million and $19.2 million during the years ended December 31, 2025, 2024 and 2023, respectively, and are included in Operating expenses in the Consolidated Statements of Operations.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circumstances, or indicators, indicate that the carrying amount or net book value of an asset may not be recoverable. Indicators may include, but are not limited to, a significant change in market conditions; or the introduction of newer technology. When performing a recoverability assessment, we measure whether the estimated future undiscounted net cash flows expected to be generated by the asset exceeds its net book value. The undiscounted cash flows consist of cash flows from terminal services contracts and currently contracted leases, future projected leases, terminal service and freight rail rates, transition costs, and estimated residual or scrap values. In the event that an asset does not meet the recoverability test, the carrying value of the asset will be adjusted to fair value resulting in an impairment charge.</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demand for a particular asset and historical experience,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Warrant Liabilities</w:t>
      </w:r>
      <w:r>
        <w:rPr>
          <w:rFonts w:ascii="Arial" w:cs="Arial" w:eastAsia="Arial" w:hAnsi="Arial"/>
          <w:sz w:val="16"/>
          <w:szCs w:val="16"/>
          <w:color w:val="000000"/>
        </w:rPr>
        <w:t>—The Company accounts for warrants as either equity-classified or liability-classified instruments based on an assessment of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warrant’s specific terms and applicable authoritative guidance in the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Current Assets</w:t>
      </w:r>
      <w:r>
        <w:rPr>
          <w:rFonts w:ascii="Arial" w:cs="Arial" w:eastAsia="Arial" w:hAnsi="Arial"/>
          <w:sz w:val="16"/>
          <w:szCs w:val="16"/>
          <w:color w:val="000000"/>
        </w:rPr>
        <w:t>—Other current assets is comprised of:</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Notes receivable</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13,605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600" w:type="dxa"/>
            <w:vAlign w:val="bottom"/>
          </w:tcPr>
          <w:p>
            <w:pPr>
              <w:ind w:left="20"/>
              <w:spacing w:after="0"/>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20,403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9,751</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deposits</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600" w:type="dxa"/>
            <w:vAlign w:val="bottom"/>
          </w:tcPr>
          <w:p>
            <w:pPr>
              <w:ind w:left="20"/>
              <w:spacing w:after="0"/>
              <w:rPr>
                <w:sz w:val="20"/>
                <w:szCs w:val="20"/>
                <w:color w:val="auto"/>
              </w:rPr>
            </w:pPr>
            <w:r>
              <w:rPr>
                <w:rFonts w:ascii="Arial" w:cs="Arial" w:eastAsia="Arial" w:hAnsi="Arial"/>
                <w:sz w:val="14"/>
                <w:szCs w:val="14"/>
                <w:color w:val="auto"/>
              </w:rPr>
              <w:t>Other receivables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10,587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Inventory</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r>
      <w:tr>
        <w:trPr>
          <w:trHeight w:val="202"/>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12,996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9,115</w:t>
            </w:r>
          </w:p>
        </w:tc>
      </w:tr>
      <w:tr>
        <w:trPr>
          <w:trHeight w:val="222"/>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62,677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19,561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the year ended December 31, 2024, the Company determined that its note receivable from an investment included in the Sustainability and Energy Transition segment should be impaired due to the investment continuing to generate operating losses and not achieving expected results. The related impairment charge is recorded in Asset impairment charges in the Consolidated Statements of Operations for the year ended December 31, 2024.</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Accounts Payable and Accrued Liabilities</w:t>
      </w:r>
      <w:r>
        <w:rPr>
          <w:rFonts w:ascii="Arial" w:cs="Arial" w:eastAsia="Arial" w:hAnsi="Arial"/>
          <w:sz w:val="16"/>
          <w:szCs w:val="16"/>
          <w:color w:val="000000"/>
        </w:rPr>
        <w:t>—Accounts payable and accrued liabilities primarily include payables relating to construction projects, interline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payables to other railroads, accrued compensation, interest and payables to the Manager.</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Current Liabilities</w:t>
      </w:r>
      <w:r>
        <w:rPr>
          <w:rFonts w:ascii="Arial" w:cs="Arial" w:eastAsia="Arial" w:hAnsi="Arial"/>
          <w:sz w:val="16"/>
          <w:szCs w:val="16"/>
          <w:color w:val="000000"/>
        </w:rPr>
        <w:t>—Other current liabilities primarily include insurance premium liabilities of $2.7 million and $5.0 million and deferred revenue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$11.5 million and $8.3 million as of December 31, 2025 and 2024, respectively. During the year ended December 31, 2025, the Company recognized revenue of $2.5 million that was included in the deferred revenue balance at the beginning of the year.</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Transtar, FYX and Long Ridge Energy Power LLC. As of December 31, 2025, the carrying amount of goodwill within the Jefferson Terminal, Railroad, Corporate and Other and Power and Gas segments was $122.7 million, $147.2 million, $5.4 million and $90.3 million, respectively. As of December 31, 2024, the carrying amount of goodwill within the Jefferson Terminal, Railroad and Corporate and Other segments was $122.7 million, $147.2 million and $5.4 million, respectively.</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goodwill impairment test is performed to identify potential goodwill impairment and measure an impairment loss.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that the carrying value of the reporting unit exceeds the fair value.</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October 1, 2025, we elected to complete a qualitative impairment assessment of the goodwill related to our Transtar, FYX and Long Ridge Energy &amp; Power LLC reporting units and concluded that it was more likely than not that the fair value of the Transtar, FYX and Long Ridge Energy &amp; Power LLC reporting units exceeded their respective carrying values. Therefore, no quantitative impairment evaluation was completed. As part of our assessment, we considered numerous factors, including:</w:t>
      </w:r>
    </w:p>
    <w:p>
      <w:pPr>
        <w:spacing w:after="0" w:line="1"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macroeconomic conditions and their potential impact on reporting unit fair value;</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industry and market conditions;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 factors such as increases in raw materials, labor or other costs;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actual financial performance compared with budget and prior projections;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events that may change the composition or carrying value of its net assets.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our Jefferson Terminal reporting unit, we completed a quantitative analysis. We estimate the fair value of Jefferson Terminal using an income approach, specifically a discounted cash flow analysis. This analysis requires us to make significant assumptions and estimates about the forecasted revenue growth rates, capital expenditures and discount rates. The estimates and assumptions used consider historical performance if indicative of future performance and are consistent with the assumptions used in determining future profit plans for the reporting units.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our impairment analysis, although we believe the estimates of fair value are reasonable, the determination of certain valuation inputs is subject to management's judgment. The fair value estimate was sensitive to certain assumptions inherent in the discounted estimated future cash flows, including forecasted revenue and revenue growth rates and discount rate. Changes in these inputs, including as a result of events beyond our control, could materially affect the results of the impairment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review. If the forecasted cash flows or other key inputs are negatively revised in the future, the estimated fair value of the reporting unit could be adversely impacted, potentially leading to an impairment in the future that could materially affect our operating results. The Jefferson Terminal reporting unit had an estimated fair value that exceeded its carrying value by more than 20% as of October 1, 2025. The Jefferson Terminal reporting unit forecasted revenue is dependent on the ramp up of volumes under current and expected future contracts for storage and throughput of heavy and light crude and refined products, expansion of refined product distribution to Mexico, expansion of volumes and execution of contracts related to sustainable fuels and movements in future oil spreads. Our discount rate for our 2025 goodwill impairment analysis was 10.0% and our assumed terminal growth rate was 2.5%. If our strategy changes from planned capacity downward due to an inability to source contracts or expand volumes, the fair value of the reporting unit would be negatively affected, which could lead to an impairment. The expansion of refineries in the Beaumont/Port Arthur area, as well as growing crude oil and natural gas production in the U.S. and Canada, are expected to result in increased demand for storage on the U.S. Gulf Coast. Although we do not have significant direct exposure to volatility of crude oil prices, changes in crude oil pricing that affect long term refining planned output could impact Jefferson Terminal operations.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expect the Jefferson Terminal reporting unit to continue to grow and generate positive Adjusted EBITDA in future years. Further delays in executing anticipated contracts or achieving our projected volumes could adversely affect the fair value of the reporting unit.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impairments of goodwill for the years ended December 31, 2025, 2024, and 2023.</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Intangibles and Amortization</w:t>
      </w:r>
      <w:r>
        <w:rPr>
          <w:rFonts w:ascii="Arial" w:cs="Arial" w:eastAsia="Arial" w:hAnsi="Arial"/>
          <w:sz w:val="16"/>
          <w:szCs w:val="16"/>
          <w:color w:val="000000"/>
        </w:rPr>
        <w:t>—Intangible assets include the value of existing customer relationships acquired in connection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and Transtar.</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Customer relationship intangible assets are amortized on a straight-line basis over their useful lives as the pattern in which the asset’s economic benefits are consumed cannot reliably be determined. Customer relationship intangible assets have useful lives ranging from 5 to 15 years, no estimated residual value, and amortization is recorded as a component of Depreciation and amortization in the Consolidated Statements of Operations. The weighted-average remaining amortization period for customer relationships was 126 months and 138 months as of December 31, 2025 and 2024, respectively.</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Redeemable Preferred Stock</w:t>
      </w:r>
      <w:r>
        <w:rPr>
          <w:rFonts w:ascii="Arial" w:cs="Arial" w:eastAsia="Arial" w:hAnsi="Arial"/>
          <w:sz w:val="16"/>
          <w:szCs w:val="16"/>
          <w:color w:val="000000"/>
        </w:rPr>
        <w:t>—We classify the Series A Preferred Stock ("Redeemable Preferred Stock") and Series A Preferred Stock - RailCo - Non-controlling Interest (“NCI”) as temporary equity in the Consolidated Balance Sheets due to certain contingent redemption clauses that are at the election of the holders. The Series A Preferred Stock was redeemed during the third quarter of 2025 (see Note 18 for details). The carrying value of the Series A Preferred Stock - RailCo - NCI is accreted to the redemption value at the earliest redemption date, which has been determined to be August 25, 2032. We use the effective interest method to accrete to the redemption value.</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00497F"/>
        </w:rPr>
        <w:t>Convertible Preferred Stock</w:t>
      </w:r>
      <w:r>
        <w:rPr>
          <w:rFonts w:ascii="Arial" w:cs="Arial" w:eastAsia="Arial" w:hAnsi="Arial"/>
          <w:sz w:val="16"/>
          <w:szCs w:val="16"/>
          <w:color w:val="000000"/>
        </w:rPr>
        <w:t>—We classify the Series B Preferred Stock ("Convertible Preferred Stock") as temporary equity in the Consolidated Balance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Sheets due to a change in control provision that would trigger redemption. The Series B Preferred Stock is not currently probable of becoming redeemable; as a result, the issuance costs and PIK dividends are not being accreted in the balance of Series B Preferred Stock on the Consolidated Balance Sheets. The Company will adjust earnings (loss) per share for the dividends on an as converted basis.</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0000"/>
        </w:rPr>
        <w:t>—Costs incurred in connection with obtaining long-term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$21.9 million and $14.8 million as of December 31, 2025 and 2024, respectively, are included in Debt, net in the Consolidated Balance Sheets.</w:t>
      </w:r>
    </w:p>
    <w:p>
      <w:pPr>
        <w:spacing w:after="0" w:line="56"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Amortization expense was $11.0 million, $6.2 million and $6.8 million for the years ended December 31, 2025, 2024 and 2023, respectively, and is included in Interest expense in the Consolidated Statements of Operations.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relate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performance obligations that are recognized over time using the right to invoice practical expedient, i.e., invoiced as the services are rendered and the customer simultaneously receives and consumes the benefit over the contract term. The Company’s performance of service and right to invoice corresponds with the value delivered to our customers. Revenues are typically invoiced and paid on a monthly basis.</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00497F"/>
        </w:rPr>
        <w:t>Rail Revenues</w:t>
      </w:r>
      <w:r>
        <w:rPr>
          <w:rFonts w:ascii="Arial" w:cs="Arial" w:eastAsia="Arial" w:hAnsi="Arial"/>
          <w:sz w:val="16"/>
          <w:szCs w:val="16"/>
          <w:color w:val="000000"/>
        </w:rPr>
        <w:t>—Rail revenues generally consist of the following performance obligations: industrial switching, interline services, demurrage and storage.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Switching revenues are derived from the performance of switching services, which involve the movement of cars from one point to another within the limits of an individual plant, industrial area, or a rail yard. Switching revenues are recognized as the services are performed, and the services are generally completed on the same day they are initiated.</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Interline revenues are derived from transportation services for railcars that originate or terminate at our railroads and involve one or more other carriers. For interline traffic, one railroad typically invoices a customer on behalf of all railroads participating in the route directed by the customer. The invoicing railroad then pays the other railroads its portion of the total amount invoiced on a monthly basis. We record revenue related to interline traffic for transportation service segments provided by carriers along railroads that are not owned or controlled by us on a net basis. Interline revenues are recognized as the transportation movements occur.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ancillary services revenue primarily relates to demurrage and storage services. Demurrage represents charges assessed by railroads for the retention of cars by shippers or receivers of freight beyond a specified free time and is recognized on a per day basis. Storage services revenue is earned for the provision of storage of shippers’ railcars and is generally recognized on a per day, per car basis, as the storage services are provided.</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relevant lease agreement.</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Roadside Services Revenues</w:t>
      </w:r>
      <w:r>
        <w:rPr>
          <w:rFonts w:ascii="Arial" w:cs="Arial" w:eastAsia="Arial" w:hAnsi="Arial"/>
          <w:sz w:val="16"/>
          <w:szCs w:val="16"/>
          <w:color w:val="000000"/>
        </w:rPr>
        <w:t>—Roadside services revenue is revenue related to providing roadside assistance services to customers in the intermodal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over-the-road trucking industries. Revenue is recognized when a performance obligation is satisfied by completing a repair service at a point in time. Revenues are typically invoiced for each repair and generally have 30-day payment terms.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Gas Revenues</w:t>
      </w:r>
      <w:r>
        <w:rPr>
          <w:rFonts w:ascii="Arial" w:cs="Arial" w:eastAsia="Arial" w:hAnsi="Arial"/>
          <w:sz w:val="16"/>
          <w:szCs w:val="16"/>
          <w:color w:val="000000"/>
        </w:rPr>
        <w:t>—The Company’s natural gas revenues are based on actual sales volumes of commodities sold by Diversified Energy Inc. (“Diversified”).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Diversified owns the portions of certain Long Ridge natural gas wells not owned by Long Ridge, operates all Long Ridge’s natural gas wells and markets excess natural gas not required for plant operations to various end users in the open market. The Company has concluded that the control transfers to the natural gas operator at the point of delivery (i.e., wellhead or the inlet of the operating entity’s system) and revenue is recognized when control transfers. In these instances, revenue is recorded net of any marketing, gathering and compressor fees.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Power Revenues</w:t>
      </w:r>
      <w:r>
        <w:rPr>
          <w:rFonts w:ascii="Arial" w:cs="Arial" w:eastAsia="Arial" w:hAnsi="Arial"/>
          <w:sz w:val="16"/>
          <w:szCs w:val="16"/>
          <w:color w:val="000000"/>
        </w:rPr>
        <w:t>—Power revenues are recognized from Long Ridge’s revenues into PJM Interconnection, Inc.’s (“PJM”) day-ahead and spot markets.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Certain transmission losses, transmission congestion fees, and other fees incurred by PJM are netted into revenue. Power revenues are recognized upon generation of the electricity and simultaneous consumption by the customer. Revenue is recognized based on the invoiced amount which is equal to the value of Long Ridge’s performance obligation satisfied with the customer.</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Long Ridge participates in PJM’s capacity market and provides a stated quantity of capacity and generates electricity as required during the performance period. Long Ridge receives payment for and recognizes revenue with respect to Long Ridge’s capacity commitments ratably over the term of its capacity commitments.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Revenues for the handling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storage of raw materials relate to performance obligations that are recognized over time using the right to invoice practical expedient, i.e., invoiced as the services are rendered and the customer simultaneously receives and consumes the benefit over the contract term. Our performance of service and right to invoice corresponds with the value delivered to our customers. Other revenues are typically invoiced and paid on a monthly basis.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revenues are generally short term in nature.</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recognized in Operating lease right-of-use assets, net and Operating lease liabilities within current liabilities and non-current liabilities in our Consolidated Balance Sheets, respectively. Finance lease ROU assets are recognized in Property, plant and equipment, net and lease liabilities are recognized in Other current liabilities and Other liabilities in our Consolidated Balance Sheets.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0000"/>
        </w:rPr>
        <w:t>—We are subject to concentrations of credit risk with respect to amounts due from customers. We attempt to limit our credit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risk by performing ongoing credit evaluations. We earned approximately 10%, 13% and 12% of our consolidated revenue from one customer within the Jefferson Terminal segment during the years ended December 31, 2025, 2024 and 2023, respectively, and 32%, 50% and 51% from one customer within the Railroad segment during the years ended December 31, 2025, 2024 and 2023, respectively. During the year ended December 31, 2025, revenues from one customer in each of the Railroad and Jefferson Terminal segments accounted for $159.5 million and $52.3 million,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2025, accounts receivable from three customers within the Jefferson Terminal, Railroad and Power and Gas segments represented 41% of total accounts receivable, net. As of December 31, 2024, accounts receivable from two customers within the Jefferson Terminal and Railroad segments represented 48% of total accounts receivable, net.</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We also consider current and future economic conditions over the expected lives of the receivables, the amount of receivables in dispute, and the current receivables aging.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 Recognition</w:t>
      </w:r>
      <w:r>
        <w:rPr>
          <w:rFonts w:ascii="Arial" w:cs="Arial" w:eastAsia="Arial" w:hAnsi="Arial"/>
          <w:sz w:val="16"/>
          <w:szCs w:val="16"/>
          <w:color w:val="000000"/>
        </w:rPr>
        <w:t>—Expenses are recognized on an accrual basis as incurred.</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Acquisition and Transaction Expenses</w:t>
      </w:r>
      <w:r>
        <w:rPr>
          <w:rFonts w:ascii="Arial" w:cs="Arial" w:eastAsia="Arial" w:hAnsi="Arial"/>
          <w:sz w:val="16"/>
          <w:szCs w:val="16"/>
          <w:color w:val="000000"/>
        </w:rPr>
        <w:t>—Acquisition and transaction expense is comprised of costs related to business combinations, dispositions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terminated deal costs related to asset acquisitions, including advisory, legal, accounting, valuation and other professional or consulting fees.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Accumulated Other Comprehensive Loss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Components of accumulated other comprehensive loss at December 31, 2025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Pension and other</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Derivatives</w:t>
            </w:r>
          </w:p>
        </w:tc>
        <w:tc>
          <w:tcPr>
            <w:tcW w:w="100" w:type="dxa"/>
            <w:vAlign w:val="bottom"/>
            <w:vMerge w:val="restart"/>
          </w:tcPr>
          <w:p>
            <w:pPr>
              <w:spacing w:after="0"/>
              <w:rPr>
                <w:sz w:val="12"/>
                <w:szCs w:val="12"/>
                <w:color w:val="auto"/>
              </w:rPr>
            </w:pPr>
          </w:p>
        </w:tc>
        <w:tc>
          <w:tcPr>
            <w:tcW w:w="1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Equity method investee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postretirement benefit</w:t>
            </w:r>
          </w:p>
        </w:tc>
        <w:tc>
          <w:tcPr>
            <w:tcW w:w="400" w:type="dxa"/>
            <w:vAlign w:val="bottom"/>
          </w:tcPr>
          <w:p>
            <w:pPr>
              <w:spacing w:after="0"/>
              <w:rPr>
                <w:sz w:val="12"/>
                <w:szCs w:val="12"/>
                <w:color w:val="auto"/>
              </w:rPr>
            </w:pPr>
          </w:p>
        </w:tc>
        <w:tc>
          <w:tcPr>
            <w:tcW w:w="136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accounts</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(182,983)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25,932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(157,051)</w:t>
            </w:r>
          </w:p>
        </w:tc>
        <w:tc>
          <w:tcPr>
            <w:tcW w:w="0" w:type="dxa"/>
            <w:vAlign w:val="bottom"/>
          </w:tcPr>
          <w:p>
            <w:pPr>
              <w:spacing w:after="0"/>
              <w:rPr>
                <w:sz w:val="1"/>
                <w:szCs w:val="1"/>
                <w:color w:val="auto"/>
              </w:rPr>
            </w:pPr>
          </w:p>
        </w:tc>
      </w:tr>
      <w:tr>
        <w:trPr>
          <w:trHeight w:val="202"/>
        </w:trPr>
        <w:tc>
          <w:tcPr>
            <w:tcW w:w="39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(107,944)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(2,191)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(110,768)</w:t>
            </w:r>
          </w:p>
        </w:tc>
        <w:tc>
          <w:tcPr>
            <w:tcW w:w="0" w:type="dxa"/>
            <w:vAlign w:val="bottom"/>
          </w:tcPr>
          <w:p>
            <w:pPr>
              <w:spacing w:after="0"/>
              <w:rPr>
                <w:sz w:val="1"/>
                <w:szCs w:val="1"/>
                <w:color w:val="auto"/>
              </w:rPr>
            </w:pPr>
          </w:p>
        </w:tc>
      </w:tr>
      <w:tr>
        <w:trPr>
          <w:trHeight w:val="154"/>
        </w:trPr>
        <w:tc>
          <w:tcPr>
            <w:tcW w:w="396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Amounts reclassified from accumulated other comprehensive</w:t>
            </w:r>
          </w:p>
        </w:tc>
        <w:tc>
          <w:tcPr>
            <w:tcW w:w="3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(4,252)</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183,616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(2,163)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177,201</w:t>
            </w:r>
          </w:p>
        </w:tc>
        <w:tc>
          <w:tcPr>
            <w:tcW w:w="0" w:type="dxa"/>
            <w:vAlign w:val="bottom"/>
          </w:tcPr>
          <w:p>
            <w:pPr>
              <w:spacing w:after="0"/>
              <w:rPr>
                <w:sz w:val="1"/>
                <w:szCs w:val="1"/>
                <w:color w:val="auto"/>
              </w:rPr>
            </w:pPr>
          </w:p>
        </w:tc>
      </w:tr>
      <w:tr>
        <w:trPr>
          <w:trHeight w:val="185"/>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w:t>
            </w:r>
          </w:p>
        </w:tc>
        <w:tc>
          <w:tcPr>
            <w:tcW w:w="3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60" w:type="dxa"/>
            <w:vAlign w:val="bottom"/>
          </w:tcPr>
          <w:p>
            <w:pPr>
              <w:ind w:left="20"/>
              <w:spacing w:after="0" w:line="133" w:lineRule="exact"/>
              <w:rPr>
                <w:sz w:val="20"/>
                <w:szCs w:val="20"/>
                <w:color w:val="auto"/>
              </w:rPr>
            </w:pPr>
            <w:r>
              <w:rPr>
                <w:rFonts w:ascii="Arial" w:cs="Arial" w:eastAsia="Arial" w:hAnsi="Arial"/>
                <w:sz w:val="14"/>
                <w:szCs w:val="14"/>
                <w:color w:val="auto"/>
              </w:rPr>
              <w:t>Net current period other comprehensive (loss) income, net of</w:t>
            </w:r>
          </w:p>
        </w:tc>
        <w:tc>
          <w:tcPr>
            <w:tcW w:w="30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(112,196)</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182,983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(4,354)</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66,433</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(112,196)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21,578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(90,618)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accumulated other comprehensive loss during 2025 were immaterial.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Components of accumulated other comprehensive loss at December 31, 2024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 and other</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780" w:type="dxa"/>
            <w:vAlign w:val="bottom"/>
          </w:tcPr>
          <w:p>
            <w:pPr>
              <w:spacing w:after="0"/>
              <w:rPr>
                <w:sz w:val="12"/>
                <w:szCs w:val="12"/>
                <w:color w:val="auto"/>
              </w:rPr>
            </w:pPr>
          </w:p>
        </w:tc>
        <w:tc>
          <w:tcPr>
            <w:tcW w:w="1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Equity method investee</w:t>
            </w:r>
          </w:p>
        </w:tc>
        <w:tc>
          <w:tcPr>
            <w:tcW w:w="120" w:type="dxa"/>
            <w:vAlign w:val="bottom"/>
          </w:tcPr>
          <w:p>
            <w:pPr>
              <w:spacing w:after="0"/>
              <w:rPr>
                <w:sz w:val="12"/>
                <w:szCs w:val="12"/>
                <w:color w:val="auto"/>
              </w:rPr>
            </w:pPr>
          </w:p>
        </w:tc>
        <w:tc>
          <w:tcPr>
            <w:tcW w:w="174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postretirement benefit</w:t>
            </w:r>
          </w:p>
        </w:tc>
        <w:tc>
          <w:tcPr>
            <w:tcW w:w="400" w:type="dxa"/>
            <w:vAlign w:val="bottom"/>
          </w:tcPr>
          <w:p>
            <w:pPr>
              <w:spacing w:after="0"/>
              <w:rPr>
                <w:sz w:val="12"/>
                <w:szCs w:val="12"/>
                <w:color w:val="auto"/>
              </w:rPr>
            </w:pPr>
          </w:p>
        </w:tc>
        <w:tc>
          <w:tcPr>
            <w:tcW w:w="136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780" w:type="dxa"/>
            <w:vAlign w:val="bottom"/>
          </w:tcPr>
          <w:p>
            <w:pPr>
              <w:spacing w:after="0"/>
              <w:rPr>
                <w:sz w:val="17"/>
                <w:szCs w:val="17"/>
                <w:color w:val="auto"/>
              </w:rPr>
            </w:pPr>
          </w:p>
        </w:tc>
        <w:tc>
          <w:tcPr>
            <w:tcW w:w="18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accounts</w:t>
            </w:r>
          </w:p>
        </w:tc>
        <w:tc>
          <w:tcPr>
            <w:tcW w:w="4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600" w:type="dxa"/>
            <w:vAlign w:val="bottom"/>
            <w:tcBorders>
              <w:top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(180,460)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(178,515)</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Other comprehensive (loss) income before reclassification</w:t>
            </w: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22,490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19,967</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accumulated other comprehensive loss</w:t>
            </w:r>
          </w:p>
        </w:tc>
        <w:tc>
          <w:tcPr>
            <w:tcW w:w="6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192"/>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 net of tax</w:t>
            </w:r>
          </w:p>
        </w:tc>
        <w:tc>
          <w:tcPr>
            <w:tcW w:w="6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23,987</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21,464</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 income</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(182,983)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25,932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(157,051)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accumulated other comprehensive loss during 2024 were immaterial.</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00497F"/>
        </w:rPr>
        <w:t xml:space="preserve">Comprehensive (Loss) Income </w:t>
      </w:r>
      <w:r>
        <w:rPr>
          <w:rFonts w:ascii="Arial" w:cs="Arial" w:eastAsia="Arial" w:hAnsi="Arial"/>
          <w:sz w:val="16"/>
          <w:szCs w:val="16"/>
          <w:color w:val="000000"/>
        </w:rPr>
        <w:t>—Comprehensive loss is defined as the change in equity of a business enterprise during a period from transactions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other events and circumstances, excluding those resulting from investments by and distributions to owners. Our comprehensive (loss) income represents net loss, as presented in the Consolidated Statements of Operations, adjusted for fair value changes recorded in other comprehensive income (loss) related to derivatives and changes in pension and other postretirement benefit accounts. The Company’s policy is to release income tax effects from accumulated other comprehensive (loss) income at such time as the earnings or loss of the related activity are recognized in earnings.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00497F"/>
        </w:rPr>
        <w:t>Electricity Derivatives</w:t>
      </w:r>
      <w:r>
        <w:rPr>
          <w:rFonts w:ascii="Arial" w:cs="Arial" w:eastAsia="Arial" w:hAnsi="Arial"/>
          <w:sz w:val="16"/>
          <w:szCs w:val="16"/>
          <w:b w:val="1"/>
          <w:bCs w:val="1"/>
          <w:i w:val="1"/>
          <w:iCs w:val="1"/>
          <w:color w:val="000000"/>
        </w:rPr>
        <w:t>—</w:t>
      </w:r>
      <w:r>
        <w:rPr>
          <w:rFonts w:ascii="Arial" w:cs="Arial" w:eastAsia="Arial" w:hAnsi="Arial"/>
          <w:sz w:val="16"/>
          <w:szCs w:val="16"/>
          <w:color w:val="000000"/>
        </w:rPr>
        <w:t>Long Ridge, enters into derivative contracts as part of a risk management program to mitigate price risk associated with certain</w:t>
      </w:r>
      <w:r>
        <w:rPr>
          <w:rFonts w:ascii="Arial" w:cs="Arial" w:eastAsia="Arial" w:hAnsi="Arial"/>
          <w:sz w:val="16"/>
          <w:szCs w:val="16"/>
          <w:i w:val="1"/>
          <w:iCs w:val="1"/>
          <w:color w:val="00497F"/>
        </w:rPr>
        <w:t xml:space="preserve"> </w:t>
      </w:r>
      <w:r>
        <w:rPr>
          <w:rFonts w:ascii="Arial" w:cs="Arial" w:eastAsia="Arial" w:hAnsi="Arial"/>
          <w:sz w:val="16"/>
          <w:szCs w:val="16"/>
          <w:color w:val="000000"/>
        </w:rPr>
        <w:t>electricity price exposures. Long Ridge primarily uses swap derivative contracts, which are agreements to buy or sell a quantity of electricity at a predetermined future date and at a predetermined price.</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00497F"/>
        </w:rPr>
        <w:t>Natural Gas Derivatives</w:t>
      </w:r>
      <w:r>
        <w:rPr>
          <w:rFonts w:ascii="Arial" w:cs="Arial" w:eastAsia="Arial" w:hAnsi="Arial"/>
          <w:sz w:val="16"/>
          <w:szCs w:val="16"/>
          <w:color w:val="000000"/>
        </w:rPr>
        <w:t>—The Company entered into a derivative contract as part of a risk management program to mitigate price risk associated with</w:t>
      </w:r>
      <w:r>
        <w:rPr>
          <w:rFonts w:ascii="Arial" w:cs="Arial" w:eastAsia="Arial" w:hAnsi="Arial"/>
          <w:sz w:val="16"/>
          <w:szCs w:val="16"/>
          <w:i w:val="1"/>
          <w:iCs w:val="1"/>
          <w:color w:val="00497F"/>
        </w:rPr>
        <w:t xml:space="preserve"> </w:t>
      </w:r>
      <w:r>
        <w:rPr>
          <w:rFonts w:ascii="Arial" w:cs="Arial" w:eastAsia="Arial" w:hAnsi="Arial"/>
          <w:sz w:val="16"/>
          <w:szCs w:val="16"/>
          <w:color w:val="000000"/>
        </w:rPr>
        <w:t>fluctuations in natural gas prices. The Company recognized the change in fair value of the derivatives in the operating expenses line item of our Consolidated Statements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records all derivative assets and liabilities on a gross basis at fair value and are included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Cash Flow Hedges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Certain of these derivative instruments are designated and qualify as cash flow hedges. Prior to our acquisition of 100% of Long Ridge Energy &amp; Power LLC on February 26, 2025 (“the Long Ridge Energy &amp; Power LLC acquisition date”), our share of the derivative's gain or loss was reported as Other comprehensive income (loss) related to derivatives in our Consolidated Statements of Comprehensive (Loss) Income and recorded in Accumulated other comprehensive loss in our Consolidated Balance Sheets. The change in our equity method investment balance related to derivative gains or losses on cash flow hedges was disclosed as a Non-cash change in equity method investment in our Consolidated Statements of Cash Flows. Subsequent to the Long Ridge Energy &amp; Power LLC acquisition date, the derivative's gain or loss is reported as Other comprehensive income in our Consolidated Statements of Comprehensive (Loss) Income and recorded in Accumulated deficit in our Consolidated Balance Sheets. The derivative's realized gain or loss is reported through Net loss included in Cash flows from operating activities within our Consolidated Statements of Cash Flows. The realized gain or loss is reclassified into Revenues on the Consolidated Statements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Derivatives Not Designated As Hedging Instruments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prior to the acquisition of Long Ridge. Prior to the Long Ridge Energy &amp; Power LLC acquisition date, our share of the change in fair value of these contracts was recognized in Equity in earnings (losses) of unconsolidated entities in the Consolidated Statements of Operations. The cash flow impact of derivative contracts that are not designated as hedging instruments was recognized in Equity in earnings (losses) of unconsolidated entities in our Consolidated Statements of Cash Flows. Subsequent to the Long Ridge Energy &amp; Power LLC acquisition date, all significant electricity swaps are designated as cash flow hedges.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records all electricity derivative assets and liabilities on a gross basis at fair value, which are included in the Consolidated Balance Sheets.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Income Taxes</w:t>
      </w:r>
      <w:r>
        <w:rPr>
          <w:rFonts w:ascii="Arial" w:cs="Arial" w:eastAsia="Arial" w:hAnsi="Arial"/>
          <w:sz w:val="16"/>
          <w:szCs w:val="16"/>
          <w:color w:val="000000"/>
        </w:rPr>
        <w:t>—Taxable income or loss generated by us and our corporate subsidiaries is subject to U.S. federal and state corporate income tax in locations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where they conduct business.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account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Some of our entities file income tax returns in the U.S. federal jurisdiction and various state jurisdictions. The income tax returns filed by us and our subsidiaries are subject to examination by the U.S. federal and state tax authorities. We recognize tax benefits for uncertain tax positions only if it is more likely than not that the position is sustainable based on its technical merits. Interest and penalties on uncertain tax positions are included as a component of the (Benefit from) provision for income taxes in the Consolidated Statements of Operations.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Pension and Other Postretirement Benefits</w:t>
      </w:r>
      <w:r>
        <w:rPr>
          <w:rFonts w:ascii="Arial" w:cs="Arial" w:eastAsia="Arial" w:hAnsi="Arial"/>
          <w:sz w:val="16"/>
          <w:szCs w:val="16"/>
          <w:color w:val="000000"/>
        </w:rPr>
        <w:t>—We have obligations for a pension and a postretirement benefit plan in connection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Transtar for certain eligible Transtar employees. The pension and other postretirement obligations and the related net periodic costs are based on, among other things, assumptions regarding the discount rate, salary increases, the projected mortality of participants and the current level and future escalation of health care costs. Actuarial gains and losses occur when actual experience differs from any of the many assumptions used to value the benefit plans, or when assumptions change. We will recognize into income on an annual basis a portion of unrecognized actuarial net gains or losses that exceed 10 percent of the greater of the projected benefit obligations or the market-related value of plan assets (the corridor). This excess is amortized over the average remaining service period of active employees expected to receive benefits under the plan. Refer to Note 14 for additional discussion on the pension and postretirement benefit plans.</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0000"/>
        </w:rPr>
        <w:t>—In October 2023, the FASB issued ASU 2023-06, Disclosure Improvements – Codification Amendments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Response to the SEC’s Disclosure Update and Simplification Initiative. This ASU incorporates certain Securities and Exchange Commission (“SEC”) disclosure requirements related to various subtopics into the FASB Accounting Standards Codification. This standard is effective for each subtopic amendment on the date that the SEC removes the related disclosure requirement from Regulation S-X or Regulation S-K, with early adoption prohibited. We adopted this guidance in the first quarter of 2025, and it did not have a material impact on our consolidated financial statements.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December 2023, the FASB issued ASU 2023-09, Income Taxes (Topic 740) – Improvements to Income Tax Disclosures. This ASU enhances the transparency and decision usefulness of income tax disclosures by expanding the disclosures of an entity’s income tax rate reconciliation and disaggregation of income taxes paid and income tax expense. This standard is effective prospectively for all public entities for annual periods beginning after December 15, 2024, with early adoption and retrospective application permitted. We adopted this guidance in the fourth quarter of 2025 prospectively, which included expanded income tax disclosures in Note 15.</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0000"/>
        </w:rPr>
        <w:t>—In November 2024, the FASB issued ASU 2024-03, Income Statement-Reporting Comprehensive Income-Expense Disaggregation Disclosures (Subtopic 220-40): Disaggregation of Income Statement Expenses. In January 2025, the FASB issued ASU 2025-01, which clarified the effective date of ASU 2024-03. This ASU requires additional financial statement disclosures for disaggregated information of certain expense line items on the face of the income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statement, including purchases of inventory, employee compensation, depreciation, intangible asset amortization and depreciation, depletion and amortization of capitalized costs recognized as part of oil- and gas-producing activities. These standards are effective for annual periods beginning after December 15, 2026, and interim periods beginning after December 15, 2027, with early adoption and either prospective or retrospective application permitted. We are currently assessing the impact this guidance will have on our consolidated financial statements and related disclosures.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2025, the FASB issued ASU 2025-09, Derivatives and Hedging (Topic 815): Hedge Accounting Improvements, which includes amendments to more closely align hedge accounting with the economics of an entity’s risk management activities. This standard is effective prospectively for all public entities for annual periods beginning December 15, 2026, and interim periods within those annual periods, with early adoption permitted. We are currently assessing the impact this guidance will have on our consolidated financial statements and related disclosures.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December 2025, the FASB issued ASU 2025-10, Government Grants (Topic 832): Accounting for Government Grants Received by Business Entities, to provide guidance on how business entities should recognize, measure, and present government grants that it receives. This standard is effective for all public entities for annual periods beginning after December 15, 2028, and interim periods within those annual periods, with early adoption permitted and may be applied using a modified prospective, modified retrospective, or retrospective approach. We are currently assessing the impact this guidance will have on our consolidated financial statements and related disclosures.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December 2025, the FASB issued ASU 2025-11, Interim Reporting (Topic 270): Narrow-Scope Improvements, which is intended to improve the navigability of the required interim disclosures, clarify when they are applicable, and provide additional guidance on what disclosures are required by GAAP to be included in interim reporting periods. The standard also establishes a principle under which an entity must disclose events since the end of the last annual reporting period that have a material impact on the entity. This standard is effective for interim reporting periods within annual reporting periods beginning after December 15, 2027, for all public entities with early adoption permitted. We are currently assessing the impact this guidance will have on our consolidated financial statements and related disclosures.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December 2025, the FASB issued ASU 2025-12, Codification Improvements, to address suggestions received from stakeholders on the Accounting Standards Codification and to make other incremental improvements to U.S. GAAP. The amendments in this update represent changes to the Codification that (i) clarify, (ii) correct errors, or (iii) make minor improvements, and make the Codification easier to understand and apply. The standard is effective either prospectively or retrospectively for annual periods beginning after December 15, 2026, and interim periods within those annual periods with early adoption permitted. We are currently assessing the impact this guidance will have on our consolidated financial statements and related disclosures.</w:t>
      </w:r>
    </w:p>
    <w:p>
      <w:pPr>
        <w:spacing w:after="0" w:line="64" w:lineRule="exact"/>
        <w:rPr>
          <w:sz w:val="20"/>
          <w:szCs w:val="20"/>
          <w:color w:val="auto"/>
        </w:rPr>
      </w:pPr>
    </w:p>
    <w:p>
      <w:pPr>
        <w:ind w:right="7560" w:firstLine="8"/>
        <w:spacing w:after="0" w:line="396" w:lineRule="auto"/>
        <w:tabs>
          <w:tab w:leader="none" w:pos="180" w:val="left"/>
        </w:tabs>
        <w:numPr>
          <w:ilvl w:val="0"/>
          <w:numId w:val="36"/>
        </w:numPr>
        <w:rPr>
          <w:rFonts w:ascii="Arial" w:cs="Arial" w:eastAsia="Arial" w:hAnsi="Arial"/>
          <w:sz w:val="16"/>
          <w:szCs w:val="16"/>
          <w:b w:val="1"/>
          <w:bCs w:val="1"/>
          <w:color w:val="00497F"/>
        </w:rPr>
      </w:pPr>
      <w:r>
        <w:rPr>
          <w:rFonts w:ascii="Arial" w:cs="Arial" w:eastAsia="Arial" w:hAnsi="Arial"/>
          <w:sz w:val="16"/>
          <w:szCs w:val="16"/>
          <w:b w:val="1"/>
          <w:bCs w:val="1"/>
          <w:color w:val="00497F"/>
        </w:rPr>
        <w:t>ACQUISITION OF SUBSIDIARIES Acquisition of Long Ridge Energy &amp; Power LLC</w:t>
      </w:r>
    </w:p>
    <w:p>
      <w:pPr>
        <w:jc w:val="both"/>
        <w:spacing w:after="0" w:line="258" w:lineRule="auto"/>
        <w:rPr>
          <w:sz w:val="20"/>
          <w:szCs w:val="20"/>
          <w:color w:val="auto"/>
        </w:rPr>
      </w:pPr>
      <w:r>
        <w:rPr>
          <w:rFonts w:ascii="Arial" w:cs="Arial" w:eastAsia="Arial" w:hAnsi="Arial"/>
          <w:sz w:val="16"/>
          <w:szCs w:val="16"/>
          <w:color w:val="auto"/>
        </w:rPr>
        <w:t>On February 26, 2025, the Company entered into a purchase agreement with certain affiliates of GCM Grosvenor Inc. (“GCM”), owner of 49.9% of the limited liability company interests of Long Ridge Energy &amp; Power LLC, to acquire GCM’s 49.9% interest. This transaction resulted in a controlling 100% ownership in Long Ridge Energy &amp; Power LLC. Consideration to GCM for the acquisition included (i) Long Ridge Energy &amp; Power LLC issuing a $20.0 million promissory note to an affiliate of GCM, (ii) cash consideration of $9.0 million paid by the Company and (iii) 160,000 shares of newly formed Series B Convertible Junior Preferred Stock issued by the Company to certain affiliates of GCM at a fair value of $160.0 million. Additionally, the Company had a pre-existing shareholder loan outstanding with Long Ridge for $106.0 million that was settled with the transaction. Long Ridge Energy &amp; Power LLC operates within the Power and Gas reportable segment. See Note 17 for additional information. The acquisition was accounted for under the acquisition method of accounting, and accordingly, the results of operations at Long Ridge Energy &amp; Power LLC have been included in the Company’s Consolidated Statements of Operations as of the effective date of the acquisition.</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Prior to obtaining a controlling interest in Long Ridge, the Company accounted for its 50.1% investment as an equity method investment (see Note 6 for information regarding the previous treatment). This transaction was accounted for as a “step acquisition” (as defined by U.S. GAAP) and, as such, the Company remeasured its pre-existing equity interest in Long Ridge immediately prior to the completion of the acquisition to its estimated fair value of $189.8 million. The results of Long Ridge since the acquisition date have been included in the Company’s consolidated financial statements. In accordance with accounting for a step acquisition, the Company recognized a gain of $120.0 million, which is included in Gain on sale of assets, net in the Consolidated Statements of Operations. There was also an income tax benefit of $9.2 million recorded as part of Accumulated other comprehensive loss in the Consolidated Balance Sheets that was reclassified to (Benefit from) provision for income taxes in the Consolidated Statements of Operations. In connection with the acquisition, we recorded $2.2 million of acquisition and transaction expense during the year ended December 31, 2025, which is included in Acquisition and transaction expenses in the Consolidated Statements of Operations.</w:t>
      </w:r>
    </w:p>
    <w:p>
      <w:pPr>
        <w:spacing w:after="0" w:line="6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accordance with ASC 805, Business Combinations, the following fair values assigned to underlying assets acquired and liabilities assumed are based on management’s estimates and assumptions. The assumptions used to estimate the fair value of proved developed and unproved gas properties, as well as the power generation plant included forecasted revenue growth rates,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discount rates, projected capacity factors and projected net gas production. These assumptions could be affected by expectations of future market conditions, actual production, regulatory changes, and commodity price volatility.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allocation of the purchase price, as presented in our Consolidated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February 26, 2025</w:t>
            </w:r>
          </w:p>
        </w:tc>
      </w:tr>
      <w:tr>
        <w:trPr>
          <w:trHeight w:val="184"/>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of assets acquired:</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17,205</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218,422</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12,364</w:t>
            </w:r>
          </w:p>
        </w:tc>
      </w:tr>
      <w:tr>
        <w:trPr>
          <w:trHeight w:val="206"/>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1,516,873</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11,855</w:t>
            </w:r>
          </w:p>
        </w:tc>
      </w:tr>
      <w:tr>
        <w:trPr>
          <w:trHeight w:val="195"/>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assets acquired</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1,777,719</w:t>
            </w:r>
          </w:p>
        </w:tc>
      </w:tr>
      <w:tr>
        <w:trPr>
          <w:trHeight w:val="203"/>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of liabilities assumed:</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54,699</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1,115,200</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197,795</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15,628</w:t>
            </w:r>
          </w:p>
        </w:tc>
      </w:tr>
      <w:tr>
        <w:trPr>
          <w:trHeight w:val="195"/>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assumed</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1,383,322</w:t>
            </w:r>
          </w:p>
        </w:tc>
      </w:tr>
      <w:tr>
        <w:trPr>
          <w:trHeight w:val="204"/>
        </w:trPr>
        <w:tc>
          <w:tcPr>
            <w:tcW w:w="94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Goodwill </w:t>
            </w:r>
            <w:r>
              <w:rPr>
                <w:rFonts w:ascii="Arial" w:cs="Arial" w:eastAsia="Arial" w:hAnsi="Arial"/>
                <w:sz w:val="18"/>
                <w:szCs w:val="18"/>
                <w:color w:val="auto"/>
                <w:vertAlign w:val="superscript"/>
              </w:rPr>
              <w:t>(1)</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90,337</w:t>
            </w:r>
          </w:p>
        </w:tc>
      </w:tr>
      <w:tr>
        <w:trPr>
          <w:trHeight w:val="196"/>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purchase consideration</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484,734</w:t>
            </w:r>
          </w:p>
        </w:tc>
      </w:tr>
      <w:tr>
        <w:trPr>
          <w:trHeight w:val="20"/>
        </w:trPr>
        <w:tc>
          <w:tcPr>
            <w:tcW w:w="9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64" w:lineRule="exact"/>
        <w:rPr>
          <w:sz w:val="20"/>
          <w:szCs w:val="20"/>
          <w:color w:val="auto"/>
        </w:rPr>
      </w:pPr>
    </w:p>
    <w:p>
      <w:pPr>
        <w:jc w:val="both"/>
        <w:ind w:left="180" w:hanging="172"/>
        <w:spacing w:after="0" w:line="283" w:lineRule="auto"/>
        <w:tabs>
          <w:tab w:leader="none" w:pos="196" w:val="left"/>
        </w:tabs>
        <w:numPr>
          <w:ilvl w:val="0"/>
          <w:numId w:val="37"/>
        </w:numPr>
        <w:rPr>
          <w:rFonts w:ascii="Arial" w:cs="Arial" w:eastAsia="Arial" w:hAnsi="Arial"/>
          <w:sz w:val="9"/>
          <w:szCs w:val="9"/>
          <w:color w:val="auto"/>
        </w:rPr>
      </w:pPr>
      <w:r>
        <w:rPr>
          <w:rFonts w:ascii="Arial" w:cs="Arial" w:eastAsia="Arial" w:hAnsi="Arial"/>
          <w:sz w:val="14"/>
          <w:szCs w:val="14"/>
          <w:color w:val="auto"/>
        </w:rPr>
        <w:t>This goodwill is assigned to the Power and Gas segment and is not tax deductible for income tax purposes. In the fourth quarter of 2025, the Company recorded an adjustment of $35.5 million to goodwill of the Power and Gas segment for a measurement period adjustment related to completing its analysis of acquired tax attributes upon filing the 2024 income tax return.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of the identifiable intangible assets and their estimated useful lives: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Estimated useful life in</w:t>
            </w:r>
          </w:p>
        </w:tc>
        <w:tc>
          <w:tcPr>
            <w:tcW w:w="260" w:type="dxa"/>
            <w:vAlign w:val="bottom"/>
          </w:tcPr>
          <w:p>
            <w:pPr>
              <w:spacing w:after="0"/>
              <w:rPr>
                <w:sz w:val="14"/>
                <w:szCs w:val="14"/>
                <w:color w:val="auto"/>
              </w:rPr>
            </w:pPr>
          </w:p>
        </w:tc>
        <w:tc>
          <w:tcPr>
            <w:tcW w:w="12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0"/>
        </w:trPr>
        <w:tc>
          <w:tcPr>
            <w:tcW w:w="7660" w:type="dxa"/>
            <w:vAlign w:val="bottom"/>
          </w:tcPr>
          <w:p>
            <w:pPr>
              <w:ind w:left="20"/>
              <w:spacing w:after="0"/>
              <w:rPr>
                <w:sz w:val="20"/>
                <w:szCs w:val="20"/>
                <w:color w:val="auto"/>
              </w:rPr>
            </w:pPr>
            <w:r>
              <w:rPr>
                <w:rFonts w:ascii="Arial" w:cs="Arial" w:eastAsia="Arial" w:hAnsi="Arial"/>
                <w:sz w:val="14"/>
                <w:szCs w:val="14"/>
                <w:color w:val="auto"/>
              </w:rPr>
              <w:t>Total</w:t>
            </w: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of the property, plant and equipment and their estimated remaining useful lives: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Estimated remaining useful</w:t>
            </w:r>
          </w:p>
        </w:tc>
        <w:tc>
          <w:tcPr>
            <w:tcW w:w="260" w:type="dxa"/>
            <w:vAlign w:val="bottom"/>
          </w:tcPr>
          <w:p>
            <w:pPr>
              <w:spacing w:after="0"/>
              <w:rPr>
                <w:sz w:val="14"/>
                <w:szCs w:val="14"/>
                <w:color w:val="auto"/>
              </w:rPr>
            </w:pPr>
          </w:p>
        </w:tc>
        <w:tc>
          <w:tcPr>
            <w:tcW w:w="12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98"/>
        </w:trPr>
        <w:tc>
          <w:tcPr>
            <w:tcW w:w="7660" w:type="dxa"/>
            <w:vAlign w:val="bottom"/>
          </w:tcPr>
          <w:p>
            <w:pPr>
              <w:ind w:left="20"/>
              <w:spacing w:after="0"/>
              <w:rPr>
                <w:sz w:val="20"/>
                <w:szCs w:val="20"/>
                <w:color w:val="auto"/>
              </w:rPr>
            </w:pPr>
            <w:r>
              <w:rPr>
                <w:rFonts w:ascii="Arial" w:cs="Arial" w:eastAsia="Arial" w:hAnsi="Arial"/>
                <w:sz w:val="14"/>
                <w:szCs w:val="14"/>
                <w:color w:val="auto"/>
              </w:rPr>
              <w:t>Unproved properties</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216,776</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Proved developed properties</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168,045</w:t>
            </w:r>
          </w:p>
        </w:tc>
        <w:tc>
          <w:tcPr>
            <w:tcW w:w="0" w:type="dxa"/>
            <w:vAlign w:val="bottom"/>
          </w:tcPr>
          <w:p>
            <w:pPr>
              <w:spacing w:after="0"/>
              <w:rPr>
                <w:sz w:val="1"/>
                <w:szCs w:val="1"/>
                <w:color w:val="auto"/>
              </w:rPr>
            </w:pPr>
          </w:p>
        </w:tc>
      </w:tr>
      <w:tr>
        <w:trPr>
          <w:trHeight w:val="199"/>
        </w:trPr>
        <w:tc>
          <w:tcPr>
            <w:tcW w:w="7660" w:type="dxa"/>
            <w:vAlign w:val="bottom"/>
          </w:tcPr>
          <w:p>
            <w:pPr>
              <w:ind w:left="20"/>
              <w:spacing w:after="0"/>
              <w:rPr>
                <w:sz w:val="20"/>
                <w:szCs w:val="20"/>
                <w:color w:val="auto"/>
              </w:rPr>
            </w:pPr>
            <w:r>
              <w:rPr>
                <w:rFonts w:ascii="Arial" w:cs="Arial" w:eastAsia="Arial" w:hAnsi="Arial"/>
                <w:sz w:val="14"/>
                <w:szCs w:val="14"/>
                <w:color w:val="auto"/>
              </w:rPr>
              <w:t>Power generation</w:t>
            </w:r>
          </w:p>
        </w:tc>
        <w:tc>
          <w:tcPr>
            <w:tcW w:w="1980" w:type="dxa"/>
            <w:vAlign w:val="bottom"/>
          </w:tcPr>
          <w:p>
            <w:pPr>
              <w:jc w:val="center"/>
              <w:spacing w:after="0"/>
              <w:rPr>
                <w:sz w:val="20"/>
                <w:szCs w:val="20"/>
                <w:color w:val="auto"/>
              </w:rPr>
            </w:pPr>
            <w:r>
              <w:rPr>
                <w:rFonts w:ascii="Arial" w:cs="Arial" w:eastAsia="Arial" w:hAnsi="Arial"/>
                <w:sz w:val="14"/>
                <w:szCs w:val="14"/>
                <w:color w:val="auto"/>
              </w:rPr>
              <w:t>12 - 37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850,121</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software</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9"/>
        </w:trPr>
        <w:tc>
          <w:tcPr>
            <w:tcW w:w="7660" w:type="dxa"/>
            <w:vAlign w:val="bottom"/>
          </w:tcPr>
          <w:p>
            <w:pPr>
              <w:ind w:left="20"/>
              <w:spacing w:after="0"/>
              <w:rPr>
                <w:sz w:val="20"/>
                <w:szCs w:val="20"/>
                <w:color w:val="auto"/>
              </w:rPr>
            </w:pPr>
            <w:r>
              <w:rPr>
                <w:rFonts w:ascii="Arial" w:cs="Arial" w:eastAsia="Arial" w:hAnsi="Arial"/>
                <w:sz w:val="14"/>
                <w:szCs w:val="14"/>
                <w:color w:val="auto"/>
              </w:rPr>
              <w:t>Land and improvements</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166,454</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10 - 39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48,665</w:t>
            </w:r>
          </w:p>
        </w:tc>
        <w:tc>
          <w:tcPr>
            <w:tcW w:w="0" w:type="dxa"/>
            <w:vAlign w:val="bottom"/>
          </w:tcPr>
          <w:p>
            <w:pPr>
              <w:spacing w:after="0"/>
              <w:rPr>
                <w:sz w:val="1"/>
                <w:szCs w:val="1"/>
                <w:color w:val="auto"/>
              </w:rPr>
            </w:pPr>
          </w:p>
        </w:tc>
      </w:tr>
      <w:tr>
        <w:trPr>
          <w:trHeight w:val="199"/>
        </w:trPr>
        <w:tc>
          <w:tcPr>
            <w:tcW w:w="7660" w:type="dxa"/>
            <w:vAlign w:val="bottom"/>
          </w:tcPr>
          <w:p>
            <w:pPr>
              <w:ind w:left="20"/>
              <w:spacing w:after="0"/>
              <w:rPr>
                <w:sz w:val="20"/>
                <w:szCs w:val="20"/>
                <w:color w:val="auto"/>
              </w:rPr>
            </w:pPr>
            <w:r>
              <w:rPr>
                <w:rFonts w:ascii="Arial" w:cs="Arial" w:eastAsia="Arial" w:hAnsi="Arial"/>
                <w:sz w:val="14"/>
                <w:szCs w:val="14"/>
                <w:color w:val="auto"/>
              </w:rPr>
              <w:t>Machinery &amp; equipment</w:t>
            </w:r>
          </w:p>
        </w:tc>
        <w:tc>
          <w:tcPr>
            <w:tcW w:w="1980" w:type="dxa"/>
            <w:vAlign w:val="bottom"/>
          </w:tcPr>
          <w:p>
            <w:pPr>
              <w:jc w:val="center"/>
              <w:spacing w:after="0"/>
              <w:rPr>
                <w:sz w:val="20"/>
                <w:szCs w:val="20"/>
                <w:color w:val="auto"/>
              </w:rPr>
            </w:pPr>
            <w:r>
              <w:rPr>
                <w:rFonts w:ascii="Arial" w:cs="Arial" w:eastAsia="Arial" w:hAnsi="Arial"/>
                <w:sz w:val="14"/>
                <w:szCs w:val="14"/>
                <w:color w:val="auto"/>
              </w:rPr>
              <w:t>2 - 37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62,015</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8 - 34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w:t>
            </w:r>
          </w:p>
        </w:tc>
        <w:tc>
          <w:tcPr>
            <w:tcW w:w="0" w:type="dxa"/>
            <w:vAlign w:val="bottom"/>
          </w:tcPr>
          <w:p>
            <w:pPr>
              <w:spacing w:after="0"/>
              <w:rPr>
                <w:sz w:val="1"/>
                <w:szCs w:val="1"/>
                <w:color w:val="auto"/>
              </w:rPr>
            </w:pPr>
          </w:p>
        </w:tc>
      </w:tr>
      <w:tr>
        <w:trPr>
          <w:trHeight w:val="19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Vehicles</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2 - 3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2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1,516,873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Acquisition of The Wheeling Corporation</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August 25, 2025 (the “Closing Date”), FIP RR Holdings LLC (“RR Holdings”), a subsidiary of the Company, closed the previously announced transactions contemplated by the stock purchase agreement, dated as of August 6, 2025 (the “Wheeling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Purchase Agreement”), between RR Holdings (as successor-in-interest to Percy Acquisition LLC (“Percy”)) and WLE Management Partners, L.P. (“Seller”), pursuant to which RR Holdings purchased 100% of the issued and outstanding capital stock of The Wheeling Corporation (“Wheeling”) from Seller (the “Wheeling Acquisition”). Prior to the closing of the Wheeling Acquisition, Percy assigned its rights and obligations under the Wheeling Purchase Agreement to RR Holdings, a wholly-owned subsidiary of Percy. The aggregate cash consideration paid in exchange for all of the issued and outstanding capital stock of Wheeling at closing was approximately $1.05 billion, subject to customary adjustments. A portion of the cash consideration was placed into escrow to secure any post-closing purchase price adjustment payment obligations under the Wheeling Purchase Agreement. Additional consideration paid for the Wheeling Acquisition included $49.8 million to paydown finance leases that Wheeling previously held, as well as $10.4 million for transaction costs related to the acquisition, which were capitalized as part of the original equity method investment classified as Investment - The Wheeling Corporation in the Consolidated Balance Sheets. Additionally, on the Closing Date, Percy contributed 100% of Transtar into RR Holdings. RR Holdings’ assets and credit are not available to satisfy the debts and other obligations of the Company or any other person or entity, except with respect to its subsidiaries.</w:t>
      </w:r>
    </w:p>
    <w:p>
      <w:pPr>
        <w:spacing w:after="0" w:line="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on the Closing Date, RR Holdings entered into a voting trust agreement (the “Voting Trust Agreement”) with John Giles (the “Voting Trust Trustee”). All of the capital stock of Wheeling was transferred into a voting trust (the “Voting Trust”) governed by the Voting Trust Agreement pursuant to the rules established by the U.S. Surface Transportation Board (the “STB”). The capital stock of Wheeling held in the Voting Trust was released to RR Holdings upon approval of the Wheeling Acquisition by the STB. The Voting Trust terminated upon STB approval of RR Holdings’ control authority over Wheeling &amp; Lake Erie Railway Company (“WLE”) and Akron Barberton Cluster Railway Company (“AB”), both wholly-owned subsidiaries of Wheeling.</w:t>
      </w:r>
    </w:p>
    <w:p>
      <w:pPr>
        <w:spacing w:after="0" w:line="8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On the Closing Date, in connection with the Wheeling Acquisition, RR Holdings issued (i) 1,000,000 newly-created Series A Preferred Units (“Series A Preferred Stock - RailCo”) (see Note 18) and (ii) 172,500 Series A Warrants (“Series A Warrants - RailCo”) (see Note 18) representing the right to purchase, on the terms and subject to the conditions set forth in the Wheeling Purchase Agreement, 172,500 common units of RR Holdings at an initial exercise price of $857.748 per unit, for an aggregate purchase price of $1.0 billion.</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the Closing Date, in connection with the Wheeling Acquisition, the Company entered into a credit agreement for a 364-day, $1.25 billion secured bridge loan facility (the “Bridge Loan”) (see Note 8). The Bridge Loan will mature on August 24, 2026.</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recorded its initial investment in Wheeling under the equity method of accounting pending approval from the STB of the Company's application for control of Wheeling.</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December 26, 2025, following STB approval our acquisition of Wheeling, we took full control of Wheeling, at which time we fully consolidated Wheeling into our consolidated financial statements. As we initially accounted for our investment in Wheeling as an equity method investment, we remeasured our pre-existing equity interest in Wheeling immediately prior to the completion of the acquisition to its estimated fair value of $1.12 billion. The results of Wheeling since the acquisition date have been included in the Company’s consolidated financial statements. In connection with the acquisition, we recorded $0.1 million of acquisition and transaction expense during the year ended December 31, 2025, which is included in Acquisition and transaction expenses in the Consolidated Statements of Operations.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accordance with ASC 805, Business Combinations, the following fair values assigned to underlying assets acquired and liabilities assumed are based on management’s estimates and assumptions, which will be refined during the measurement period as needed. The assumptions used to estimate the preliminary fair value of the bridges and tunnels, track and track related assets included estimated acreage and market value per acre, as well as the condition and unit construction cost of bridges and tunnels. These assumptions are based on available information as of the reporting date and could be affected by further validation of assumptions during the measurement period.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allocation of the preliminary purchase price, as presented in our Consolidated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26, 2025</w:t>
            </w:r>
          </w:p>
        </w:tc>
      </w:tr>
      <w:tr>
        <w:trPr>
          <w:trHeight w:val="183"/>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of assets acquired:</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21,432</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19,222</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net</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65,927</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1,289,151</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27,758</w:t>
            </w:r>
          </w:p>
        </w:tc>
      </w:tr>
      <w:tr>
        <w:trPr>
          <w:trHeight w:val="195"/>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assets acquired</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1,427,383</w:t>
            </w:r>
          </w:p>
        </w:tc>
      </w:tr>
      <w:tr>
        <w:trPr>
          <w:trHeight w:val="203"/>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of liabilities assumed:</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9"/>
        </w:trPr>
        <w:tc>
          <w:tcPr>
            <w:tcW w:w="946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22,034</w:t>
            </w:r>
          </w:p>
        </w:tc>
      </w:tr>
      <w:tr>
        <w:trPr>
          <w:trHeight w:val="206"/>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12,228</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273,419</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w:t>
            </w:r>
          </w:p>
        </w:tc>
      </w:tr>
      <w:tr>
        <w:trPr>
          <w:trHeight w:val="195"/>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liabilities assumed</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309,563</w:t>
            </w:r>
          </w:p>
        </w:tc>
      </w:tr>
      <w:tr>
        <w:trPr>
          <w:trHeight w:val="222"/>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preliminary purchase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1,117,820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preliminary estimated fair value of the property, plant and equipment and their estimated remaining useful lives: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Estimated remaining useful</w:t>
            </w:r>
          </w:p>
        </w:tc>
        <w:tc>
          <w:tcPr>
            <w:tcW w:w="260" w:type="dxa"/>
            <w:vAlign w:val="bottom"/>
          </w:tcPr>
          <w:p>
            <w:pPr>
              <w:spacing w:after="0"/>
              <w:rPr>
                <w:sz w:val="14"/>
                <w:szCs w:val="14"/>
                <w:color w:val="auto"/>
              </w:rPr>
            </w:pPr>
          </w:p>
        </w:tc>
        <w:tc>
          <w:tcPr>
            <w:tcW w:w="12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6,768</w:t>
            </w:r>
          </w:p>
        </w:tc>
        <w:tc>
          <w:tcPr>
            <w:tcW w:w="0" w:type="dxa"/>
            <w:vAlign w:val="bottom"/>
          </w:tcPr>
          <w:p>
            <w:pPr>
              <w:spacing w:after="0"/>
              <w:rPr>
                <w:sz w:val="1"/>
                <w:szCs w:val="1"/>
                <w:color w:val="auto"/>
              </w:rPr>
            </w:pPr>
          </w:p>
        </w:tc>
      </w:tr>
      <w:tr>
        <w:trPr>
          <w:trHeight w:val="198"/>
        </w:trPr>
        <w:tc>
          <w:tcPr>
            <w:tcW w:w="7660" w:type="dxa"/>
            <w:vAlign w:val="bottom"/>
          </w:tcPr>
          <w:p>
            <w:pPr>
              <w:ind w:left="20"/>
              <w:spacing w:after="0"/>
              <w:rPr>
                <w:sz w:val="20"/>
                <w:szCs w:val="20"/>
                <w:color w:val="auto"/>
              </w:rPr>
            </w:pPr>
            <w:r>
              <w:rPr>
                <w:rFonts w:ascii="Arial" w:cs="Arial" w:eastAsia="Arial" w:hAnsi="Arial"/>
                <w:sz w:val="14"/>
                <w:szCs w:val="14"/>
                <w:color w:val="auto"/>
              </w:rPr>
              <w:t>Land</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165,862</w:t>
            </w:r>
          </w:p>
        </w:tc>
        <w:tc>
          <w:tcPr>
            <w:tcW w:w="0" w:type="dxa"/>
            <w:vAlign w:val="bottom"/>
          </w:tcPr>
          <w:p>
            <w:pPr>
              <w:spacing w:after="0"/>
              <w:rPr>
                <w:sz w:val="1"/>
                <w:szCs w:val="1"/>
                <w:color w:val="auto"/>
              </w:rPr>
            </w:pPr>
          </w:p>
        </w:tc>
      </w:tr>
      <w:tr>
        <w:trPr>
          <w:trHeight w:val="207"/>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2 - 16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4,448</w:t>
            </w:r>
          </w:p>
        </w:tc>
        <w:tc>
          <w:tcPr>
            <w:tcW w:w="0" w:type="dxa"/>
            <w:vAlign w:val="bottom"/>
          </w:tcPr>
          <w:p>
            <w:pPr>
              <w:spacing w:after="0"/>
              <w:rPr>
                <w:sz w:val="1"/>
                <w:szCs w:val="1"/>
                <w:color w:val="auto"/>
              </w:rPr>
            </w:pPr>
          </w:p>
        </w:tc>
      </w:tr>
      <w:tr>
        <w:trPr>
          <w:trHeight w:val="198"/>
        </w:trPr>
        <w:tc>
          <w:tcPr>
            <w:tcW w:w="7660" w:type="dxa"/>
            <w:vAlign w:val="bottom"/>
          </w:tcPr>
          <w:p>
            <w:pPr>
              <w:ind w:left="20"/>
              <w:spacing w:after="0"/>
              <w:rPr>
                <w:sz w:val="20"/>
                <w:szCs w:val="20"/>
                <w:color w:val="auto"/>
              </w:rPr>
            </w:pPr>
            <w:r>
              <w:rPr>
                <w:rFonts w:ascii="Arial" w:cs="Arial" w:eastAsia="Arial" w:hAnsi="Arial"/>
                <w:sz w:val="14"/>
                <w:szCs w:val="14"/>
                <w:color w:val="auto"/>
              </w:rPr>
              <w:t>Bridges and tunnels</w:t>
            </w:r>
          </w:p>
        </w:tc>
        <w:tc>
          <w:tcPr>
            <w:tcW w:w="1980" w:type="dxa"/>
            <w:vAlign w:val="bottom"/>
          </w:tcPr>
          <w:p>
            <w:pPr>
              <w:jc w:val="center"/>
              <w:spacing w:after="0"/>
              <w:rPr>
                <w:sz w:val="20"/>
                <w:szCs w:val="20"/>
                <w:color w:val="auto"/>
              </w:rPr>
            </w:pPr>
            <w:r>
              <w:rPr>
                <w:rFonts w:ascii="Arial" w:cs="Arial" w:eastAsia="Arial" w:hAnsi="Arial"/>
                <w:sz w:val="14"/>
                <w:szCs w:val="14"/>
                <w:color w:val="auto"/>
              </w:rPr>
              <w:t>18 - 50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791,819</w:t>
            </w:r>
          </w:p>
        </w:tc>
        <w:tc>
          <w:tcPr>
            <w:tcW w:w="0" w:type="dxa"/>
            <w:vAlign w:val="bottom"/>
          </w:tcPr>
          <w:p>
            <w:pPr>
              <w:spacing w:after="0"/>
              <w:rPr>
                <w:sz w:val="1"/>
                <w:szCs w:val="1"/>
                <w:color w:val="auto"/>
              </w:rPr>
            </w:pPr>
          </w:p>
        </w:tc>
      </w:tr>
      <w:tr>
        <w:trPr>
          <w:trHeight w:val="207"/>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machinery and equipment</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2 - 15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5,214</w:t>
            </w:r>
          </w:p>
        </w:tc>
        <w:tc>
          <w:tcPr>
            <w:tcW w:w="0" w:type="dxa"/>
            <w:vAlign w:val="bottom"/>
          </w:tcPr>
          <w:p>
            <w:pPr>
              <w:spacing w:after="0"/>
              <w:rPr>
                <w:sz w:val="1"/>
                <w:szCs w:val="1"/>
                <w:color w:val="auto"/>
              </w:rPr>
            </w:pPr>
          </w:p>
        </w:tc>
      </w:tr>
      <w:tr>
        <w:trPr>
          <w:trHeight w:val="198"/>
        </w:trPr>
        <w:tc>
          <w:tcPr>
            <w:tcW w:w="7660" w:type="dxa"/>
            <w:vAlign w:val="bottom"/>
          </w:tcPr>
          <w:p>
            <w:pPr>
              <w:ind w:left="20"/>
              <w:spacing w:after="0"/>
              <w:rPr>
                <w:sz w:val="20"/>
                <w:szCs w:val="20"/>
                <w:color w:val="auto"/>
              </w:rPr>
            </w:pPr>
            <w:r>
              <w:rPr>
                <w:rFonts w:ascii="Arial" w:cs="Arial" w:eastAsia="Arial" w:hAnsi="Arial"/>
                <w:sz w:val="14"/>
                <w:szCs w:val="14"/>
                <w:color w:val="auto"/>
              </w:rPr>
              <w:t>Track and track related assets</w:t>
            </w:r>
          </w:p>
        </w:tc>
        <w:tc>
          <w:tcPr>
            <w:tcW w:w="1980" w:type="dxa"/>
            <w:vAlign w:val="bottom"/>
          </w:tcPr>
          <w:p>
            <w:pPr>
              <w:jc w:val="center"/>
              <w:spacing w:after="0"/>
              <w:rPr>
                <w:sz w:val="20"/>
                <w:szCs w:val="20"/>
                <w:color w:val="auto"/>
              </w:rPr>
            </w:pPr>
            <w:r>
              <w:rPr>
                <w:rFonts w:ascii="Arial" w:cs="Arial" w:eastAsia="Arial" w:hAnsi="Arial"/>
                <w:sz w:val="14"/>
                <w:szCs w:val="14"/>
                <w:color w:val="auto"/>
              </w:rPr>
              <w:t>2 - 40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218,065</w:t>
            </w:r>
          </w:p>
        </w:tc>
        <w:tc>
          <w:tcPr>
            <w:tcW w:w="0" w:type="dxa"/>
            <w:vAlign w:val="bottom"/>
          </w:tcPr>
          <w:p>
            <w:pPr>
              <w:spacing w:after="0"/>
              <w:rPr>
                <w:sz w:val="1"/>
                <w:szCs w:val="1"/>
                <w:color w:val="auto"/>
              </w:rPr>
            </w:pPr>
          </w:p>
        </w:tc>
      </w:tr>
      <w:tr>
        <w:trPr>
          <w:trHeight w:val="207"/>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2 - 4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98"/>
        </w:trPr>
        <w:tc>
          <w:tcPr>
            <w:tcW w:w="7660" w:type="dxa"/>
            <w:vAlign w:val="bottom"/>
          </w:tcPr>
          <w:p>
            <w:pPr>
              <w:ind w:left="20"/>
              <w:spacing w:after="0"/>
              <w:rPr>
                <w:sz w:val="20"/>
                <w:szCs w:val="20"/>
                <w:color w:val="auto"/>
              </w:rPr>
            </w:pPr>
            <w:r>
              <w:rPr>
                <w:rFonts w:ascii="Arial" w:cs="Arial" w:eastAsia="Arial" w:hAnsi="Arial"/>
                <w:sz w:val="14"/>
                <w:szCs w:val="14"/>
                <w:color w:val="auto"/>
              </w:rPr>
              <w:t>Railcars and locomotives</w:t>
            </w:r>
          </w:p>
        </w:tc>
        <w:tc>
          <w:tcPr>
            <w:tcW w:w="1980" w:type="dxa"/>
            <w:vAlign w:val="bottom"/>
          </w:tcPr>
          <w:p>
            <w:pPr>
              <w:jc w:val="center"/>
              <w:spacing w:after="0"/>
              <w:rPr>
                <w:sz w:val="20"/>
                <w:szCs w:val="20"/>
                <w:color w:val="auto"/>
              </w:rPr>
            </w:pPr>
            <w:r>
              <w:rPr>
                <w:rFonts w:ascii="Arial" w:cs="Arial" w:eastAsia="Arial" w:hAnsi="Arial"/>
                <w:sz w:val="14"/>
                <w:szCs w:val="14"/>
                <w:color w:val="auto"/>
              </w:rPr>
              <w:t>3 - 30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92,609</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2 - 8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4,138</w:t>
            </w:r>
          </w:p>
        </w:tc>
        <w:tc>
          <w:tcPr>
            <w:tcW w:w="0" w:type="dxa"/>
            <w:vAlign w:val="bottom"/>
          </w:tcPr>
          <w:p>
            <w:pPr>
              <w:spacing w:after="0"/>
              <w:rPr>
                <w:sz w:val="1"/>
                <w:szCs w:val="1"/>
                <w:color w:val="auto"/>
              </w:rPr>
            </w:pPr>
          </w:p>
        </w:tc>
      </w:tr>
      <w:tr>
        <w:trPr>
          <w:trHeight w:val="200"/>
        </w:trPr>
        <w:tc>
          <w:tcPr>
            <w:tcW w:w="7660" w:type="dxa"/>
            <w:vAlign w:val="bottom"/>
          </w:tcPr>
          <w:p>
            <w:pPr>
              <w:ind w:left="20"/>
              <w:spacing w:after="0"/>
              <w:rPr>
                <w:sz w:val="20"/>
                <w:szCs w:val="20"/>
                <w:color w:val="auto"/>
              </w:rPr>
            </w:pPr>
            <w:r>
              <w:rPr>
                <w:rFonts w:ascii="Arial" w:cs="Arial" w:eastAsia="Arial" w:hAnsi="Arial"/>
                <w:sz w:val="14"/>
                <w:szCs w:val="14"/>
                <w:color w:val="auto"/>
              </w:rPr>
              <w:t>Total</w:t>
            </w: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1,289,151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above purchase price allocation is preliminary and subject to revision as additional information about the fair value of individual assets and liabilities becomes available. The preliminary measurement of assets and liabilities are subject to change. Furthermore, the Company is still evaluating the appropriate useful lives for the acquired property, plant and equipment. A change in the estimated fair value of the net assets acquired will change the amount of the purchase price allocated.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Supplemental Pro Forma Information (Unaudited)</w:t>
      </w:r>
    </w:p>
    <w:p>
      <w:pPr>
        <w:spacing w:after="0" w:line="11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FTAI Infrastructure, Long Ridge Energy &amp; Power LLC and The Wheeling Corporation on a pro forma basis, as though the companies had been combined as of January 1, 2024. These pro forma results were based on estimates and assumptions which we believe are reasonable. The pro forma adjustments are primarily comprised of the following:</w:t>
      </w:r>
    </w:p>
    <w:p>
      <w:pPr>
        <w:spacing w:after="0" w:line="2" w:lineRule="exact"/>
        <w:rPr>
          <w:sz w:val="20"/>
          <w:szCs w:val="20"/>
          <w:color w:val="auto"/>
        </w:rPr>
      </w:pPr>
    </w:p>
    <w:p>
      <w:pPr>
        <w:ind w:left="660" w:hanging="328"/>
        <w:spacing w:after="0" w:line="290"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allocation of the purchase price and related adjustments, including adjustments to depreciation and amortization expense related to the fair value of property, plant and equipment acquired;</w:t>
      </w: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Elimination of intercompany transactions between consolidated companies;</w:t>
      </w:r>
    </w:p>
    <w:p>
      <w:pPr>
        <w:spacing w:after="0" w:line="59" w:lineRule="exact"/>
        <w:rPr>
          <w:rFonts w:ascii="Arial" w:cs="Arial" w:eastAsia="Arial" w:hAnsi="Arial"/>
          <w:sz w:val="16"/>
          <w:szCs w:val="16"/>
          <w:color w:val="auto"/>
        </w:rPr>
      </w:pPr>
    </w:p>
    <w:p>
      <w:pPr>
        <w:ind w:left="660" w:right="20" w:hanging="328"/>
        <w:spacing w:after="0" w:line="290"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Impacts of debt assumed, including interest for debt issued, removal of interest for eliminated debt and removal of eliminated amortization of deferred financing costs; and</w:t>
      </w: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Associated tax-related impacts of adjustments.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pro forma financial information is presented for informational purposes only and is not indicative of the results of operations that would have been achieved if the acquisitions had taken place as of January 1,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r>
      <w:tr>
        <w:trPr>
          <w:trHeight w:val="197"/>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710,602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591,561</w:t>
            </w:r>
          </w:p>
        </w:tc>
      </w:tr>
      <w:tr>
        <w:trPr>
          <w:trHeight w:val="194"/>
        </w:trPr>
        <w:tc>
          <w:tcPr>
            <w:tcW w:w="8000" w:type="dxa"/>
            <w:vAlign w:val="bottom"/>
          </w:tcPr>
          <w:p>
            <w:pPr>
              <w:ind w:left="20"/>
              <w:spacing w:after="0"/>
              <w:rPr>
                <w:sz w:val="20"/>
                <w:szCs w:val="20"/>
                <w:color w:val="auto"/>
              </w:rPr>
            </w:pPr>
            <w:r>
              <w:rPr>
                <w:rFonts w:ascii="Arial" w:cs="Arial" w:eastAsia="Arial" w:hAnsi="Arial"/>
                <w:sz w:val="14"/>
                <w:szCs w:val="14"/>
                <w:color w:val="auto"/>
              </w:rPr>
              <w:t>Net loss attributable to stockholders, before series B preferred stock dividend and loss on extinguishment of preferred stock</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(402,167)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(393,295)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4. LEASING EQUIPMENT, NET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r>
      <w:tr>
        <w:trPr>
          <w:trHeight w:val="196"/>
        </w:trPr>
        <w:tc>
          <w:tcPr>
            <w:tcW w:w="80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r>
      <w:tr>
        <w:trPr>
          <w:trHeight w:val="197"/>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49,986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49,262</w:t>
            </w:r>
          </w:p>
        </w:tc>
      </w:tr>
      <w:tr>
        <w:trPr>
          <w:trHeight w:val="201"/>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(13,416)</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rPr>
              <w:t>(11,809)</w:t>
            </w:r>
          </w:p>
        </w:tc>
      </w:tr>
      <w:tr>
        <w:trPr>
          <w:trHeight w:val="222"/>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36,570</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rPr>
              <w:t>37,453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6"/>
          </w:tcPr>
          <w:p>
            <w:pPr>
              <w:jc w:val="center"/>
              <w:ind w:left="6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6"/>
        </w:trPr>
        <w:tc>
          <w:tcPr>
            <w:tcW w:w="70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r>
        <w:trPr>
          <w:trHeight w:val="197"/>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Sales-Type Leases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December 2023, Jefferson Terminal entered into an agreement to lease land to an entity controlled by certain employees of the Manager. The lease is initially for a two-year construction period and eight years post-completion with renewals that extend the lease up to 32 years. We determined that the lease is a sales-type lease as the present value of the lease payments is substantially all of fair value. Lease payments will increase based on an inflation escalator and be treated as variable lease payments as they occur.</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At lease commencement, we recorded $6.6 million of gain on sales-type lease which is recorded in Gain on sale of assets, net in the Consolidated Statements of Operations during the year ended December 31, 2024. We also recorded $0.8 million and $0.8 million of interest income which is included in Revenues in the Consolidated Statements of Operations during the year ended December 31, 2025 and 2024,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and 2024, we recorded $8.8 million and $8.1 million of lease receivable and $0.8 million and $0.8 million of unguaranteed residual</w:t>
      </w:r>
    </w:p>
    <w:p>
      <w:pPr>
        <w:spacing w:after="0" w:line="7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value which are included in Other assets on the Consolidated Balance Sheets, as well as $0.8 million and $0.8 million of short-term lease receivable which is included in Other current assets on the Consolidated Balance Sheets,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future minimum lease payments under the sales-type lease as of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624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2027</w:t>
            </w:r>
          </w:p>
        </w:tc>
        <w:tc>
          <w:tcPr>
            <w:tcW w:w="5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5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2029</w:t>
            </w:r>
          </w:p>
        </w:tc>
        <w:tc>
          <w:tcPr>
            <w:tcW w:w="5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2030</w:t>
            </w:r>
          </w:p>
        </w:tc>
        <w:tc>
          <w:tcPr>
            <w:tcW w:w="5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5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lease payments</w:t>
            </w:r>
          </w:p>
        </w:tc>
        <w:tc>
          <w:tcPr>
            <w:tcW w:w="5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55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lease receivable</w:t>
            </w:r>
          </w:p>
        </w:tc>
        <w:tc>
          <w:tcPr>
            <w:tcW w:w="624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bottom w:val="single" w:sz="8" w:color="CCEEFF"/>
            </w:tcBorders>
            <w:vMerge w:val="restart"/>
          </w:tcPr>
          <w:p>
            <w:pPr>
              <w:jc w:val="right"/>
              <w:ind w:right="3688"/>
              <w:spacing w:after="0"/>
              <w:rPr>
                <w:sz w:val="20"/>
                <w:szCs w:val="20"/>
                <w:color w:val="auto"/>
              </w:rPr>
            </w:pPr>
            <w:r>
              <w:rPr>
                <w:rFonts w:ascii="Arial" w:cs="Arial" w:eastAsia="Arial" w:hAnsi="Arial"/>
                <w:sz w:val="14"/>
                <w:szCs w:val="14"/>
                <w:color w:val="auto"/>
              </w:rPr>
              <w:t>80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390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900" w:type="dxa"/>
            <w:vAlign w:val="bottom"/>
            <w:tcBorders>
              <w:bottom w:val="single" w:sz="8" w:color="9A9A9A"/>
            </w:tcBorders>
          </w:tcPr>
          <w:p>
            <w:pPr>
              <w:spacing w:after="0"/>
              <w:rPr>
                <w:sz w:val="9"/>
                <w:szCs w:val="9"/>
                <w:color w:val="auto"/>
              </w:rPr>
            </w:pPr>
          </w:p>
        </w:tc>
        <w:tc>
          <w:tcPr>
            <w:tcW w:w="55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5. PROPERTY, PLANT AND EQUIPMENT, 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8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r>
      <w:tr>
        <w:trPr>
          <w:trHeight w:val="197"/>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513,835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181,874</w:t>
            </w:r>
          </w:p>
        </w:tc>
      </w:tr>
      <w:tr>
        <w:trPr>
          <w:trHeight w:val="201"/>
        </w:trPr>
        <w:tc>
          <w:tcPr>
            <w:tcW w:w="888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72,997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19,015</w:t>
            </w:r>
          </w:p>
        </w:tc>
      </w:tr>
      <w:tr>
        <w:trPr>
          <w:trHeight w:val="203"/>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Bridges and tunnels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969,551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176,753</w:t>
            </w: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1,357,502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1,211,272</w:t>
            </w:r>
          </w:p>
        </w:tc>
      </w:tr>
      <w:tr>
        <w:trPr>
          <w:trHeight w:val="203"/>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Proved oil and gas properties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304,716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auto"/>
              </w:rPr>
              <w:t>Unproved oil and gas properties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144,455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Power plant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850,489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auto"/>
              </w:rPr>
              <w:t>Track and track related assets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335,850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109,871</w:t>
            </w:r>
          </w:p>
        </w:tc>
      </w:tr>
      <w:tr>
        <w:trPr>
          <w:trHeight w:val="203"/>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9,627</w:t>
            </w: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auto"/>
              </w:rPr>
              <w:t>Railcars and locomotives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181,892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95,437</w:t>
            </w:r>
          </w:p>
        </w:tc>
      </w:tr>
      <w:tr>
        <w:trPr>
          <w:trHeight w:val="203"/>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22,532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20,682</w:t>
            </w: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2,246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2,246</w:t>
            </w:r>
          </w:p>
        </w:tc>
      </w:tr>
      <w:tr>
        <w:trPr>
          <w:trHeight w:val="203"/>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263,495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153,244</w:t>
            </w:r>
          </w:p>
        </w:tc>
      </w:tr>
      <w:tr>
        <w:trPr>
          <w:trHeight w:val="201"/>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30,029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24,183</w:t>
            </w:r>
          </w:p>
        </w:tc>
      </w:tr>
      <w:tr>
        <w:trPr>
          <w:trHeight w:val="197"/>
        </w:trPr>
        <w:tc>
          <w:tcPr>
            <w:tcW w:w="8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5,059,283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2,004,204</w:t>
            </w:r>
          </w:p>
        </w:tc>
      </w:tr>
      <w:tr>
        <w:trPr>
          <w:trHeight w:val="202"/>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(477,512)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(350,736)</w:t>
            </w:r>
          </w:p>
        </w:tc>
      </w:tr>
      <w:tr>
        <w:trPr>
          <w:trHeight w:val="222"/>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4,581,771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1,653,468</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had net additions of property, plant and equipment of $3.1 billion and $97.1 million during the years ended December 31, 2025 and 2024, respectively, which is primarily due to the acquisitions of Long Ridge Energy &amp; Power LLC in February 2025 and The Wheeling Corporation in December 2025.</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Depreciation expense for property, plant and equipment was $126.8 million, $71.6 million, and $72.3 million for the years ended December 31, 2025, 2024 and 2023,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6.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Carrying Value</w:t>
            </w:r>
          </w:p>
        </w:tc>
        <w:tc>
          <w:tcPr>
            <w:tcW w:w="740" w:type="dxa"/>
            <w:vAlign w:val="bottom"/>
            <w:tcBorders>
              <w:bottom w:val="single" w:sz="8" w:color="auto"/>
            </w:tcBorders>
          </w:tcPr>
          <w:p>
            <w:pPr>
              <w:spacing w:after="0"/>
              <w:rPr>
                <w:sz w:val="17"/>
                <w:szCs w:val="17"/>
                <w:color w:val="auto"/>
              </w:rPr>
            </w:pPr>
          </w:p>
        </w:tc>
      </w:tr>
      <w:tr>
        <w:trPr>
          <w:trHeight w:val="197"/>
        </w:trPr>
        <w:tc>
          <w:tcPr>
            <w:tcW w:w="3060" w:type="dxa"/>
            <w:vAlign w:val="bottom"/>
            <w:tcBorders>
              <w:bottom w:val="single" w:sz="8" w:color="CCEEFF"/>
            </w:tcBorders>
          </w:tcPr>
          <w:p>
            <w:pPr>
              <w:spacing w:after="0"/>
              <w:rPr>
                <w:sz w:val="17"/>
                <w:szCs w:val="17"/>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80" w:type="dxa"/>
            <w:vAlign w:val="bottom"/>
            <w:tcBorders>
              <w:bottom w:val="single" w:sz="8" w:color="CCEEFF"/>
            </w:tcBorders>
          </w:tcPr>
          <w:p>
            <w:pPr>
              <w:spacing w:after="0"/>
              <w:rPr>
                <w:sz w:val="17"/>
                <w:szCs w:val="17"/>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See below</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42"/>
        </w:trPr>
        <w:tc>
          <w:tcPr>
            <w:tcW w:w="3060" w:type="dxa"/>
            <w:vAlign w:val="bottom"/>
          </w:tcPr>
          <w:p>
            <w:pPr>
              <w:ind w:left="20"/>
              <w:spacing w:after="0"/>
              <w:rPr>
                <w:sz w:val="20"/>
                <w:szCs w:val="20"/>
                <w:color w:val="auto"/>
              </w:rPr>
            </w:pPr>
            <w:r>
              <w:rPr>
                <w:rFonts w:ascii="Arial" w:cs="Arial" w:eastAsia="Arial" w:hAnsi="Arial"/>
                <w:sz w:val="14"/>
                <w:szCs w:val="14"/>
                <w:color w:val="auto"/>
              </w:rPr>
              <w:t xml:space="preserve">Long Ridge Energy &amp; Power LLC </w:t>
            </w:r>
            <w:r>
              <w:rPr>
                <w:rFonts w:ascii="Arial" w:cs="Arial" w:eastAsia="Arial" w:hAnsi="Arial"/>
                <w:sz w:val="9"/>
                <w:szCs w:val="9"/>
                <w:color w:val="auto"/>
              </w:rPr>
              <w:t>(1)</w:t>
            </w: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780" w:type="dxa"/>
            <w:vAlign w:val="bottom"/>
            <w:gridSpan w:val="2"/>
          </w:tcPr>
          <w:p>
            <w:pPr>
              <w:jc w:val="center"/>
              <w:ind w:right="100"/>
              <w:spacing w:after="0"/>
              <w:rPr>
                <w:sz w:val="20"/>
                <w:szCs w:val="20"/>
                <w:color w:val="auto"/>
              </w:rPr>
            </w:pPr>
            <w:r>
              <w:rPr>
                <w:rFonts w:ascii="Arial" w:cs="Arial" w:eastAsia="Arial" w:hAnsi="Arial"/>
                <w:sz w:val="14"/>
                <w:szCs w:val="14"/>
                <w:color w:val="auto"/>
              </w:rPr>
              <w:t>See below</w:t>
            </w:r>
          </w:p>
        </w:tc>
        <w:tc>
          <w:tcPr>
            <w:tcW w:w="5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West Virginia LLC</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See below</w:t>
            </w:r>
          </w:p>
        </w:tc>
        <w:tc>
          <w:tcPr>
            <w:tcW w:w="5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201"/>
        </w:trPr>
        <w:tc>
          <w:tcPr>
            <w:tcW w:w="3060" w:type="dxa"/>
            <w:vAlign w:val="bottom"/>
          </w:tcPr>
          <w:p>
            <w:pPr>
              <w:ind w:left="20"/>
              <w:spacing w:after="0"/>
              <w:rPr>
                <w:sz w:val="20"/>
                <w:szCs w:val="20"/>
                <w:color w:val="auto"/>
              </w:rPr>
            </w:pPr>
            <w:r>
              <w:rPr>
                <w:rFonts w:ascii="Arial" w:cs="Arial" w:eastAsia="Arial" w:hAnsi="Arial"/>
                <w:sz w:val="14"/>
                <w:szCs w:val="14"/>
                <w:color w:val="auto"/>
              </w:rPr>
              <w:t>GM-FTAI Holdco LLC</w:t>
            </w: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780" w:type="dxa"/>
            <w:vAlign w:val="bottom"/>
            <w:gridSpan w:val="2"/>
          </w:tcPr>
          <w:p>
            <w:pPr>
              <w:jc w:val="center"/>
              <w:ind w:right="100"/>
              <w:spacing w:after="0"/>
              <w:rPr>
                <w:sz w:val="20"/>
                <w:szCs w:val="20"/>
                <w:color w:val="auto"/>
              </w:rPr>
            </w:pPr>
            <w:r>
              <w:rPr>
                <w:rFonts w:ascii="Arial" w:cs="Arial" w:eastAsia="Arial" w:hAnsi="Arial"/>
                <w:sz w:val="14"/>
                <w:szCs w:val="14"/>
                <w:color w:val="auto"/>
              </w:rPr>
              <w:t>See below</w:t>
            </w:r>
          </w:p>
        </w:tc>
        <w:tc>
          <w:tcPr>
            <w:tcW w:w="5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2"/>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Pyroplast Energy LTD</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22,243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3060" w:type="dxa"/>
            <w:vAlign w:val="bottom"/>
          </w:tcPr>
          <w:p>
            <w:pPr>
              <w:ind w:left="20"/>
              <w:spacing w:after="0"/>
              <w:rPr>
                <w:sz w:val="20"/>
                <w:szCs w:val="20"/>
                <w:color w:val="auto"/>
              </w:rPr>
            </w:pPr>
            <w:r>
              <w:rPr>
                <w:rFonts w:ascii="Arial" w:cs="Arial" w:eastAsia="Arial" w:hAnsi="Arial"/>
                <w:sz w:val="14"/>
                <w:szCs w:val="14"/>
                <w:color w:val="auto"/>
              </w:rPr>
              <w:t>Clean Planet Energy USA LLC</w:t>
            </w: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780" w:type="dxa"/>
            <w:vAlign w:val="bottom"/>
            <w:gridSpan w:val="2"/>
          </w:tcPr>
          <w:p>
            <w:pPr>
              <w:jc w:val="center"/>
              <w:ind w:right="100"/>
              <w:spacing w:after="0"/>
              <w:rPr>
                <w:sz w:val="20"/>
                <w:szCs w:val="20"/>
                <w:color w:val="auto"/>
              </w:rPr>
            </w:pPr>
            <w:r>
              <w:rPr>
                <w:rFonts w:ascii="Arial" w:cs="Arial" w:eastAsia="Arial" w:hAnsi="Arial"/>
                <w:sz w:val="14"/>
                <w:szCs w:val="14"/>
                <w:color w:val="auto"/>
              </w:rPr>
              <w:t>See below</w:t>
            </w:r>
          </w:p>
        </w:tc>
        <w:tc>
          <w:tcPr>
            <w:tcW w:w="5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12,413</w:t>
            </w:r>
          </w:p>
        </w:tc>
      </w:tr>
      <w:tr>
        <w:trPr>
          <w:trHeight w:val="221"/>
        </w:trPr>
        <w:tc>
          <w:tcPr>
            <w:tcW w:w="3060" w:type="dxa"/>
            <w:vAlign w:val="bottom"/>
            <w:tcBorders>
              <w:top w:val="single" w:sz="8" w:color="CCEEFF"/>
              <w:bottom w:val="single" w:sz="8" w:color="CCEEFF"/>
            </w:tcBorders>
            <w:shd w:val="clear" w:color="auto" w:fill="CCEEFF"/>
          </w:tcPr>
          <w:p>
            <w:pPr>
              <w:spacing w:after="0"/>
              <w:rPr>
                <w:sz w:val="18"/>
                <w:szCs w:val="18"/>
                <w:color w:val="auto"/>
              </w:rPr>
            </w:pPr>
          </w:p>
        </w:tc>
        <w:tc>
          <w:tcPr>
            <w:tcW w:w="23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12,529</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64" w:lineRule="exact"/>
        <w:rPr>
          <w:sz w:val="20"/>
          <w:szCs w:val="20"/>
          <w:color w:val="auto"/>
        </w:rPr>
      </w:pPr>
    </w:p>
    <w:p>
      <w:pPr>
        <w:ind w:left="180" w:hanging="172"/>
        <w:spacing w:after="0" w:line="231" w:lineRule="auto"/>
        <w:tabs>
          <w:tab w:leader="none" w:pos="172"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The carrying value of $(18.2) million as of December 31, 2024 is included in Other liabilities in the Consolidated Balance Sheets. As of December 31, 2025, Long Ridge Energy &amp; Power LLC was consolidated as we own 100%.</w:t>
      </w:r>
    </w:p>
    <w:p>
      <w:pPr>
        <w:spacing w:after="0" w:line="7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did not recognize any other-than-temporary impairments for the years ended December 31, 2025, 2024 and 2023 besides what has been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earnings (losses):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196"/>
        </w:trPr>
        <w:tc>
          <w:tcPr>
            <w:tcW w:w="68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97"/>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01"/>
        </w:trPr>
        <w:tc>
          <w:tcPr>
            <w:tcW w:w="6880" w:type="dxa"/>
            <w:vAlign w:val="bottom"/>
          </w:tcPr>
          <w:p>
            <w:pPr>
              <w:ind w:left="20"/>
              <w:spacing w:after="0"/>
              <w:rPr>
                <w:sz w:val="20"/>
                <w:szCs w:val="20"/>
                <w:color w:val="auto"/>
              </w:rPr>
            </w:pPr>
            <w:r>
              <w:rPr>
                <w:rFonts w:ascii="Arial" w:cs="Arial" w:eastAsia="Arial" w:hAnsi="Arial"/>
                <w:sz w:val="14"/>
                <w:szCs w:val="14"/>
                <w:color w:val="auto"/>
              </w:rPr>
              <w:t>Long Ridge Energy &amp; Power LLC</w:t>
            </w:r>
          </w:p>
        </w:tc>
        <w:tc>
          <w:tcPr>
            <w:tcW w:w="8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10,899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(29,950)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(9,556)</w:t>
            </w:r>
          </w:p>
        </w:tc>
      </w:tr>
      <w:tr>
        <w:trPr>
          <w:trHeight w:val="204"/>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West Virginia LLC</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201"/>
        </w:trPr>
        <w:tc>
          <w:tcPr>
            <w:tcW w:w="6880" w:type="dxa"/>
            <w:vAlign w:val="bottom"/>
          </w:tcPr>
          <w:p>
            <w:pPr>
              <w:ind w:left="20"/>
              <w:spacing w:after="0"/>
              <w:rPr>
                <w:sz w:val="20"/>
                <w:szCs w:val="20"/>
                <w:color w:val="auto"/>
              </w:rPr>
            </w:pPr>
            <w:r>
              <w:rPr>
                <w:rFonts w:ascii="Arial" w:cs="Arial" w:eastAsia="Arial" w:hAnsi="Arial"/>
                <w:sz w:val="14"/>
                <w:szCs w:val="14"/>
                <w:color w:val="auto"/>
              </w:rPr>
              <w:t>GM-FTAI Holdco LLC</w:t>
            </w:r>
          </w:p>
        </w:tc>
        <w:tc>
          <w:tcPr>
            <w:tcW w:w="8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(7,110)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(17,052)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(12,285)</w:t>
            </w:r>
          </w:p>
        </w:tc>
      </w:tr>
      <w:tr>
        <w:trPr>
          <w:trHeight w:val="204"/>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Clean Planet Energy USA LLC</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w:t>
            </w:r>
          </w:p>
        </w:tc>
      </w:tr>
      <w:tr>
        <w:trPr>
          <w:trHeight w:val="309"/>
        </w:trPr>
        <w:tc>
          <w:tcPr>
            <w:tcW w:w="6880" w:type="dxa"/>
            <w:vAlign w:val="bottom"/>
          </w:tcPr>
          <w:p>
            <w:pPr>
              <w:ind w:left="20"/>
              <w:spacing w:after="0"/>
              <w:rPr>
                <w:sz w:val="20"/>
                <w:szCs w:val="20"/>
                <w:color w:val="auto"/>
              </w:rPr>
            </w:pPr>
            <w:r>
              <w:rPr>
                <w:rFonts w:ascii="Arial" w:cs="Arial" w:eastAsia="Arial" w:hAnsi="Arial"/>
                <w:sz w:val="14"/>
                <w:szCs w:val="14"/>
                <w:color w:val="auto"/>
              </w:rPr>
              <w:t>Pyroplast Energy LTD</w:t>
            </w:r>
          </w:p>
        </w:tc>
        <w:tc>
          <w:tcPr>
            <w:tcW w:w="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Wheeling Corporation</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880" w:type="dxa"/>
            <w:vAlign w:val="bottom"/>
          </w:tcPr>
          <w:p>
            <w:pPr>
              <w:ind w:left="20"/>
              <w:spacing w:after="0"/>
              <w:rPr>
                <w:sz w:val="20"/>
                <w:szCs w:val="20"/>
                <w:color w:val="auto"/>
              </w:rPr>
            </w:pPr>
            <w:r>
              <w:rPr>
                <w:rFonts w:ascii="Arial" w:cs="Arial" w:eastAsia="Arial" w:hAnsi="Arial"/>
                <w:sz w:val="14"/>
                <w:szCs w:val="14"/>
                <w:color w:val="auto"/>
              </w:rPr>
              <w:t>Total</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12,303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(55,496)</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(24,707)</w:t>
            </w:r>
          </w:p>
        </w:tc>
      </w:tr>
      <w:tr>
        <w:trPr>
          <w:trHeight w:val="20"/>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Equity Method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Intermodal Finance I, Ltd.</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2012, we acquired a 51% non-controlling interest in Intermodal Finance I, Ltd. (“Intermodal”).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we do not have unilateral rights over this investment and, therefore, we do not consolidate Intermodal but account for this investment in accordance with the equity method. We do not have a variable interest in this investment as none of the criteria of ASC 810-10-15-14 were met.</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February 28, 2025, the Company sold the remaining assets in Intermodal. The related gain was recorded in Other income in the Consolidated Statements of Operations during the year ended December 31,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Long Ridge Energy &amp; Power LLC</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December 2019, Ohio River Partners Shareholder LLC (“ORP”), a wholly owned subsidiary, contributed its equity interests in Long Ridge into Long Ridge Energy &amp; Power LLC and sold a 49.9% interest (the “Long Ridge Transaction”) for $150.0 million in cash, plus an earn out. Following the sale, we deconsolidated ORP, which held the assets of Long Ridge.</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our equity method investment, in October 2022, we entered into a shareholder loan agreement maturing on October 15, 2023 and accruing paid-in-kind (“PIK”) interest at a 13% rate. During 2023, the maturity date was extended to May 1, 2032. The Company made an additional $31.4 million of investment in Long Ridge as part of the shareholder loan agreement during the year ended December 31, 2024. As of December 31, 2024, $114.8 million was recorded as part of the Long Ridge investment in Other liabilities on the Consolidated Balance Sheet. On February 26, 2025, the shareholder loan was consolidated and eliminated in consolidation.</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February 26, 2025, the Company entered into a purchase agreement with certain affiliates of GCM Grosvenor Inc. (“GCM”), owner of 49.9% of the limited liability company interests of Long Ridge Energy &amp; Power LLC, to acquire GCM’s 49.9% interest (see Note 3 for additional details). The Company owns 100% of Long Ridge Energy &amp; Power LLC as of December 31, 2025.</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GM-FTAI Holdco LLC</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September 2021, we acquired 1% of the Class A shares and 50% of the Class B shares of GM-FTAI Holdco LLC for $52.5 million. GM-FTAI Holdco LLC owns a 100% interest in Gladieux Metals Recycling LLC (“GMR”) and Aleon Renewable Metals LLC (“Aleon”). GMR specializes in recycling spent catalyst produced in the petroleum refining industry.</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Aleon plans to develop a lithium-ion battery recycling business across the United States. Each planned location will collect, discharge and disassemble lithium-ion batteries to extract various metals in high-purity form for resale into the lithium-ion battery production market. Aleon and GMR are governed by separate boards of directors. Our ownership of Class A and B shares in GM-FTAI Holdco LLC provides us with 1% and 50% economic interest in GMR and Aleon, respectively. We account for our investment in GM-FTAI Holdco LLC as an equity method investment as we have significant influence through our ownership of Class A and Class B shares of GM-FTAI Holdco LLC.</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June 15, 2022, we exchanged our Class B shares which gave us economic interest in Aleon for an additional 20% interest in Class A shares. In addition, we also terminated our credit agreements with GMR and Aleon in exchange for an approximate 8.5% of additional interest in Class A shares of GM-FTAI Holdco LLC. As a result of these exchange transactions, we own approximately 27% of GM-FTAI Holdco LLC, which owns 100% of both GMR and Aleon.</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year ended December 31, 2024, GM-FTAI Holdco LLC was impacted by severe weather which damaged its facilities and impacted production capabilities. Additionally, GM-FTAI Holdco LLC continues to generate operating losses and has not achieved expected results. Therefore, the Company determined that the equity value should be fully written off of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Consolidated Balance Sheet as of December 31, 2024. The related impairment charge of $72.3 million is recorded in Asset impairment charges in the Consolidated Statements of Operations for the year ended December 31, 2024.</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year ended December 31, 2024, the Company also determined that its note receivable from GM-FTAI Holdco LLC should be impaired due to the investment continuing to generate operating losses and not achieving expected results. The related impairment charge was recorded in Asset impairment charges in the Consolidated Statements of Operations for the year ended December 31, 2024.</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On August 17, 2025, Gladieux Metals Recycling LLC and Aleon Renewable Metals LLC filed voluntary petitions for relief under Chapter 11 of the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Bankruptcy Code in the U.S. Bankruptcy Court for the Southern District of Texas.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Clean Planet Energy USA LLC</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2021, we acquired 50% of the Class A shares of Clean Planet Energy USA LLC (“CPE” or “Clean Planet”) with an initial investment of $1.0 million. CPE intends on building waste plastic-to-fuel plants in the United States. The plants will convert various grades of non-recyclable waste plastic to renewable diesel in the form of jet fuel, diesel, naphtha, and low sulfur fuel oil. We accounted for our investment in CPE as an equity method investment as we have significant influence through our ownership of Class A shares. We sold our interest in CPE as of December 22, 2025 and recorded a Gain on sale of assets, net of $8.9 million in the Consolidated Statements of Operations. See below for further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Pyroplast Energy LTD</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December 22, 2025, FIP exchanged its prior investments in Clean Planet Energy USA LLC to acquire a 49.9% voting share and 46.8% equity ownership in Pyroplast Energy LTD (“Clean Planet Group”). In addition, FIP issued an interest-bearing senior loan to Clean Planet Group to fund the future business plan. The equity investment and senior loan had a fair value of $22.3 million and $10.1 million, respectively, as of December 22, 2025. The senior loan is recorded in Other assets in the Consolidated Balance Sheets as of December 31, 2025. We account for our investment in Clean Planet Group as an equity method investment as we have significant influence through our equity ownership.</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Long Ridge West Virginia LLC</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2023, we sold a 49.9% interest in Long Ridge West Virginia LLC (“Long Ridge WV”), previously a wholly owned subsidiary, for $7.5 million in cash. Long Ridge WV is a VIE as defined under U.S. GAAP, but we are not the primary beneficiary. Following the sale, we no longer have a controlling interest in Long Ridge WV, but we still maintain significant influence through our retained interest and account for this investment in accordance with the equity method.</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Long Ridge WV was formed to build an energy generating property in West Virginia similar to that of Long Ridge Energy &amp; Power LLC. On the deconsolidation, no gain was recorded as all the assets consist of unproved undeveloped gas properties. We recorded our investment in the legal entity at the cost basis of $7.2 million as of November 17, 2023.</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February 19, 2025, Long Ridge Energy &amp; Power LLC completed a comprehensive refinancing of its business. As part of the refinancing, Long Ridge WV, a company owned by the Company and GCM in the same proportion as Long Ridge, was contributed to Long Ridge Energy LLC, a 100% owned subsidiary of Long Ridge. Long Ridge WV was owned by Long Ridge Energy &amp; Power LLC as of the date of the acquisition discussed above.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The Wheeling Corporation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25, 2025, the Company acquired Wheeling and deposited 100% of the outstanding Wheeling capital stock into a voting trust (see Note 3 for further details). The Company recorded its investment in Wheeling under the equity method of accounting pending approval from the STB of the Company's application for control of Wheeling. We accounted for our investment in Wheeling as an equity method investment.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Prior to STB approval, we recorded the carrying value of the investment in Investment - The Wheeling Corporation in the Consolidated Balance Sheets, which reflected the total of the consideration paid to acquire Wheeling, and the subsequent recognition of equity income, net of tax recorded in Equity in earnings (losses) of unconsolidated entities in the Consolidated Statements of Operations.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December 26, 2025, the STB approved our acquisition of Wheeling, at which time we obtained control of the entity and accounted for the acquisition as a business combination using the acquisition method of accounting (see Note 3 for further details).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Equity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E-Circuit Motors, Inc.</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E-Circuit Motors Inc. (“ECM”) is a software company concentrating on the development and sale of printer circuit board stator motors and also utilizes proprietary software to develop and test such motors in a virtual environment. On March 6, 2024, the Company invested $5.0 million for 166,667 shares of Series D preferred equity, as well as 166,667 warrants of common stock at $0.01 per share in ECM. The preferred shares are convertible to common shares at the option of the investor on a one-for-one basis. We do not exercise significant influence over the investment and will record the preferred share investment as an equity security. The warrants are exercisable only if certain conditions are met over the next two years after the date of the investment.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warrants will be accounted for as equity securities.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value of the Series D preferred equity and warrants as of the date of investment were determined to be $2.5 million each, based on relative fair value. ECM is a private company with no readily determinable fair values; if additional third-party information becomes available we will adjust the value of the investments accordingly. As of December 31, 2025, the investment of $5.0 million was recorded in Other assets on the Consolidated Balance Sheet.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7. INTANGIBLE ASSETS, 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2025</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6"/>
        </w:trPr>
        <w:tc>
          <w:tcPr>
            <w:tcW w:w="7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Power and Gas</w:t>
            </w:r>
          </w:p>
        </w:tc>
        <w:tc>
          <w:tcPr>
            <w:tcW w:w="24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Railroad</w:t>
            </w:r>
          </w:p>
        </w:tc>
        <w:tc>
          <w:tcPr>
            <w:tcW w:w="320" w:type="dxa"/>
            <w:vAlign w:val="bottom"/>
          </w:tcPr>
          <w:p>
            <w:pPr>
              <w:spacing w:after="0"/>
              <w:rPr>
                <w:sz w:val="17"/>
                <w:szCs w:val="17"/>
                <w:color w:val="auto"/>
              </w:rPr>
            </w:pP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Total</w:t>
            </w:r>
          </w:p>
        </w:tc>
      </w:tr>
      <w:tr>
        <w:trPr>
          <w:trHeight w:val="197"/>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center"/>
              <w:ind w:left="448"/>
              <w:spacing w:after="0"/>
              <w:rPr>
                <w:sz w:val="20"/>
                <w:szCs w:val="20"/>
                <w:color w:val="auto"/>
              </w:rPr>
            </w:pPr>
            <w:r>
              <w:rPr>
                <w:rFonts w:ascii="Arial" w:cs="Arial" w:eastAsia="Arial" w:hAnsi="Arial"/>
                <w:sz w:val="14"/>
                <w:szCs w:val="14"/>
                <w:b w:val="1"/>
                <w:bCs w:val="1"/>
                <w:color w:val="auto"/>
              </w:rPr>
              <w:t>60,000</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b w:val="1"/>
                <w:bCs w:val="1"/>
                <w:color w:val="auto"/>
              </w:rPr>
              <w:t>61,000</w:t>
            </w:r>
          </w:p>
        </w:tc>
      </w:tr>
      <w:tr>
        <w:trPr>
          <w:trHeight w:val="202"/>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99"/>
              </w:rPr>
              <w:t>(17,771)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rPr>
              <w:t>(17,827)</w:t>
            </w:r>
          </w:p>
        </w:tc>
      </w:tr>
      <w:tr>
        <w:trPr>
          <w:trHeight w:val="22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944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center"/>
              <w:ind w:left="448"/>
              <w:spacing w:after="0"/>
              <w:rPr>
                <w:sz w:val="20"/>
                <w:szCs w:val="20"/>
                <w:color w:val="auto"/>
              </w:rPr>
            </w:pPr>
            <w:r>
              <w:rPr>
                <w:rFonts w:ascii="Arial" w:cs="Arial" w:eastAsia="Arial" w:hAnsi="Arial"/>
                <w:sz w:val="14"/>
                <w:szCs w:val="14"/>
                <w:b w:val="1"/>
                <w:bCs w:val="1"/>
                <w:color w:val="auto"/>
              </w:rPr>
              <w:t>42,229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b w:val="1"/>
                <w:bCs w:val="1"/>
                <w:color w:val="auto"/>
              </w:rPr>
              <w:t>43,173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05"/>
        </w:trPr>
        <w:tc>
          <w:tcPr>
            <w:tcW w:w="7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6"/>
        </w:trPr>
        <w:tc>
          <w:tcPr>
            <w:tcW w:w="7000" w:type="dxa"/>
            <w:vAlign w:val="bottom"/>
          </w:tcPr>
          <w:p>
            <w:pPr>
              <w:spacing w:after="0"/>
              <w:rPr>
                <w:sz w:val="17"/>
                <w:szCs w:val="17"/>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Railroad</w:t>
            </w:r>
          </w:p>
        </w:tc>
        <w:tc>
          <w:tcPr>
            <w:tcW w:w="320" w:type="dxa"/>
            <w:vAlign w:val="bottom"/>
          </w:tcPr>
          <w:p>
            <w:pPr>
              <w:spacing w:after="0"/>
              <w:rPr>
                <w:sz w:val="17"/>
                <w:szCs w:val="17"/>
                <w:color w:val="auto"/>
              </w:rPr>
            </w:pP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Total</w:t>
            </w:r>
          </w:p>
        </w:tc>
      </w:tr>
      <w:tr>
        <w:trPr>
          <w:trHeight w:val="197"/>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35,513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center"/>
              <w:ind w:left="448"/>
              <w:spacing w:after="0"/>
              <w:rPr>
                <w:sz w:val="20"/>
                <w:szCs w:val="20"/>
                <w:color w:val="auto"/>
              </w:rPr>
            </w:pPr>
            <w:r>
              <w:rPr>
                <w:rFonts w:ascii="Arial" w:cs="Arial" w:eastAsia="Arial" w:hAnsi="Arial"/>
                <w:sz w:val="14"/>
                <w:szCs w:val="14"/>
                <w:color w:val="auto"/>
              </w:rPr>
              <w:t>60,000</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rPr>
              <w:t>95,513</w:t>
            </w:r>
          </w:p>
        </w:tc>
      </w:tr>
      <w:tr>
        <w:trPr>
          <w:trHeight w:val="198"/>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(35,513)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9"/>
              </w:rPr>
              <w:t>(13,771)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rPr>
              <w:t>(49,284)</w:t>
            </w:r>
          </w:p>
        </w:tc>
      </w:tr>
      <w:tr>
        <w:trPr>
          <w:trHeight w:val="220"/>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46,229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46,229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customer relationships is included in Depreciation and amortization in the Consolidated Statements of Operations and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center"/>
              <w:ind w:left="4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r>
      <w:tr>
        <w:trPr>
          <w:trHeight w:val="236"/>
        </w:trPr>
        <w:tc>
          <w:tcPr>
            <w:tcW w:w="3320" w:type="dxa"/>
            <w:vAlign w:val="bottom"/>
            <w:tcBorders>
              <w:bottom w:val="single" w:sz="8" w:color="CCEEFF"/>
            </w:tcBorders>
          </w:tcPr>
          <w:p>
            <w:pPr>
              <w:spacing w:after="0"/>
              <w:rPr>
                <w:sz w:val="20"/>
                <w:szCs w:val="20"/>
                <w:color w:val="auto"/>
              </w:rPr>
            </w:pP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 in Consolidated Statements of Operations</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r>
      <w:tr>
        <w:trPr>
          <w:trHeight w:val="197"/>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6"/>
              </w:rPr>
              <w:t>4,061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Estimated net annual amortization of intangibles is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4,067</w:t>
            </w:r>
          </w:p>
        </w:tc>
      </w:tr>
      <w:tr>
        <w:trPr>
          <w:trHeight w:val="198"/>
        </w:trPr>
        <w:tc>
          <w:tcPr>
            <w:tcW w:w="9400" w:type="dxa"/>
            <w:vAlign w:val="bottom"/>
          </w:tcPr>
          <w:p>
            <w:pPr>
              <w:ind w:left="20"/>
              <w:spacing w:after="0"/>
              <w:rPr>
                <w:sz w:val="20"/>
                <w:szCs w:val="20"/>
                <w:color w:val="auto"/>
              </w:rPr>
            </w:pPr>
            <w:r>
              <w:rPr>
                <w:rFonts w:ascii="Arial" w:cs="Arial" w:eastAsia="Arial" w:hAnsi="Arial"/>
                <w:sz w:val="14"/>
                <w:szCs w:val="14"/>
                <w:color w:val="auto"/>
              </w:rPr>
              <w:t>2027</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4,067</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4,067</w:t>
            </w:r>
          </w:p>
        </w:tc>
      </w:tr>
      <w:tr>
        <w:trPr>
          <w:trHeight w:val="198"/>
        </w:trPr>
        <w:tc>
          <w:tcPr>
            <w:tcW w:w="9400" w:type="dxa"/>
            <w:vAlign w:val="bottom"/>
          </w:tcPr>
          <w:p>
            <w:pPr>
              <w:ind w:left="20"/>
              <w:spacing w:after="0"/>
              <w:rPr>
                <w:sz w:val="20"/>
                <w:szCs w:val="20"/>
                <w:color w:val="auto"/>
              </w:rPr>
            </w:pPr>
            <w:r>
              <w:rPr>
                <w:rFonts w:ascii="Arial" w:cs="Arial" w:eastAsia="Arial" w:hAnsi="Arial"/>
                <w:sz w:val="14"/>
                <w:szCs w:val="14"/>
                <w:color w:val="auto"/>
              </w:rPr>
              <w:t>2029</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4,067</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2030</w:t>
            </w: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4,067</w:t>
            </w:r>
          </w:p>
        </w:tc>
      </w:tr>
      <w:tr>
        <w:trPr>
          <w:trHeight w:val="198"/>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22,838</w:t>
            </w:r>
          </w:p>
        </w:tc>
      </w:tr>
      <w:tr>
        <w:trPr>
          <w:trHeight w:val="225"/>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43,173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8. DEBT, 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97"/>
        </w:trPr>
        <w:tc>
          <w:tcPr>
            <w:tcW w:w="2940" w:type="dxa"/>
            <w:vAlign w:val="bottom"/>
          </w:tcPr>
          <w:p>
            <w:pPr>
              <w:spacing w:after="0"/>
              <w:rPr>
                <w:sz w:val="17"/>
                <w:szCs w:val="17"/>
                <w:color w:val="auto"/>
              </w:rPr>
            </w:pPr>
          </w:p>
        </w:tc>
        <w:tc>
          <w:tcPr>
            <w:tcW w:w="3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Stated Interest Rate</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40" w:type="dxa"/>
            <w:vAlign w:val="bottom"/>
          </w:tcPr>
          <w:p>
            <w:pPr>
              <w:spacing w:after="0"/>
              <w:rPr>
                <w:sz w:val="17"/>
                <w:szCs w:val="17"/>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Pr>
          <w:p>
            <w:pPr>
              <w:spacing w:after="0"/>
              <w:rPr>
                <w:sz w:val="17"/>
                <w:szCs w:val="17"/>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4"/>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3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8"/>
                <w:szCs w:val="18"/>
                <w:color w:val="auto"/>
                <w:vertAlign w:val="superscript"/>
              </w:rPr>
              <w:t>(1)</w:t>
            </w:r>
          </w:p>
        </w:tc>
        <w:tc>
          <w:tcPr>
            <w:tcW w:w="3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(i) Base Rate + 3.00%; or</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8"/>
              </w:rPr>
              <w:t>11/5/26</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44,250</w:t>
            </w:r>
          </w:p>
        </w:tc>
        <w:tc>
          <w:tcPr>
            <w:tcW w:w="0" w:type="dxa"/>
            <w:vAlign w:val="bottom"/>
          </w:tcPr>
          <w:p>
            <w:pPr>
              <w:spacing w:after="0"/>
              <w:rPr>
                <w:sz w:val="1"/>
                <w:szCs w:val="1"/>
                <w:color w:val="auto"/>
              </w:rPr>
            </w:pPr>
          </w:p>
        </w:tc>
      </w:tr>
      <w:tr>
        <w:trPr>
          <w:trHeight w:val="189"/>
        </w:trPr>
        <w:tc>
          <w:tcPr>
            <w:tcW w:w="2940" w:type="dxa"/>
            <w:vAlign w:val="bottom"/>
            <w:vMerge w:val="continue"/>
          </w:tcPr>
          <w:p>
            <w:pPr>
              <w:spacing w:after="0"/>
              <w:rPr>
                <w:sz w:val="16"/>
                <w:szCs w:val="16"/>
                <w:color w:val="auto"/>
              </w:rPr>
            </w:pPr>
          </w:p>
        </w:tc>
        <w:tc>
          <w:tcPr>
            <w:tcW w:w="3500" w:type="dxa"/>
            <w:vAlign w:val="bottom"/>
            <w:gridSpan w:val="2"/>
          </w:tcPr>
          <w:p>
            <w:pPr>
              <w:jc w:val="center"/>
              <w:ind w:right="120"/>
              <w:spacing w:after="0"/>
              <w:rPr>
                <w:sz w:val="20"/>
                <w:szCs w:val="20"/>
                <w:color w:val="auto"/>
              </w:rPr>
            </w:pPr>
            <w:r>
              <w:rPr>
                <w:rFonts w:ascii="Arial" w:cs="Arial" w:eastAsia="Arial" w:hAnsi="Arial"/>
                <w:sz w:val="14"/>
                <w:szCs w:val="14"/>
                <w:color w:val="auto"/>
              </w:rPr>
              <w:t>(ii) Base Rate + 4.00% (Term SOFR)</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DRP DB Term Loan </w:t>
            </w:r>
            <w:r>
              <w:rPr>
                <w:rFonts w:ascii="Arial" w:cs="Arial" w:eastAsia="Arial" w:hAnsi="Arial"/>
                <w:sz w:val="18"/>
                <w:szCs w:val="18"/>
                <w:color w:val="auto"/>
                <w:vertAlign w:val="superscript"/>
              </w:rPr>
              <w:t>(3)</w:t>
            </w:r>
          </w:p>
        </w:tc>
        <w:tc>
          <w:tcPr>
            <w:tcW w:w="3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11/30/26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105,828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 xml:space="preserve">Bridge Loan Credit Agreement </w:t>
            </w:r>
            <w:r>
              <w:rPr>
                <w:rFonts w:ascii="Arial" w:cs="Arial" w:eastAsia="Arial" w:hAnsi="Arial"/>
                <w:sz w:val="18"/>
                <w:szCs w:val="18"/>
                <w:color w:val="auto"/>
                <w:vertAlign w:val="superscript"/>
              </w:rPr>
              <w:t>(2) (4)</w:t>
            </w:r>
          </w:p>
        </w:tc>
        <w:tc>
          <w:tcPr>
            <w:tcW w:w="3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(i) Base Rate + 3.00%; or</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8/24/26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1,227,294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40" w:type="dxa"/>
            <w:vAlign w:val="bottom"/>
            <w:vMerge w:val="continue"/>
          </w:tcPr>
          <w:p>
            <w:pPr>
              <w:spacing w:after="0"/>
              <w:rPr>
                <w:sz w:val="16"/>
                <w:szCs w:val="16"/>
                <w:color w:val="auto"/>
              </w:rPr>
            </w:pPr>
          </w:p>
        </w:tc>
        <w:tc>
          <w:tcPr>
            <w:tcW w:w="3500" w:type="dxa"/>
            <w:vAlign w:val="bottom"/>
            <w:gridSpan w:val="2"/>
          </w:tcPr>
          <w:p>
            <w:pPr>
              <w:jc w:val="center"/>
              <w:ind w:right="120"/>
              <w:spacing w:after="0"/>
              <w:rPr>
                <w:sz w:val="20"/>
                <w:szCs w:val="20"/>
                <w:color w:val="auto"/>
              </w:rPr>
            </w:pPr>
            <w:r>
              <w:rPr>
                <w:rFonts w:ascii="Arial" w:cs="Arial" w:eastAsia="Arial" w:hAnsi="Arial"/>
                <w:sz w:val="14"/>
                <w:szCs w:val="14"/>
                <w:color w:val="auto"/>
              </w:rPr>
              <w:t>(ii) Base Rate + 4.00% (Term SOFR)</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(i) 1/25/27</w:t>
            </w:r>
          </w:p>
        </w:tc>
        <w:tc>
          <w:tcPr>
            <w:tcW w:w="1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EB-5 Loan Agreement </w:t>
            </w:r>
            <w:r>
              <w:rPr>
                <w:rFonts w:ascii="Arial" w:cs="Arial" w:eastAsia="Arial" w:hAnsi="Arial"/>
                <w:sz w:val="18"/>
                <w:szCs w:val="18"/>
                <w:color w:val="auto"/>
                <w:vertAlign w:val="superscript"/>
              </w:rPr>
              <w:t>(3)</w:t>
            </w:r>
          </w:p>
        </w:tc>
        <w:tc>
          <w:tcPr>
            <w:tcW w:w="34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120"/>
              <w:spacing w:after="0" w:line="139" w:lineRule="exact"/>
              <w:rPr>
                <w:sz w:val="20"/>
                <w:szCs w:val="20"/>
                <w:color w:val="auto"/>
              </w:rPr>
            </w:pPr>
            <w:r>
              <w:rPr>
                <w:rFonts w:ascii="Arial" w:cs="Arial" w:eastAsia="Arial" w:hAnsi="Arial"/>
                <w:sz w:val="14"/>
                <w:szCs w:val="14"/>
                <w:color w:val="auto"/>
                <w:w w:val="99"/>
              </w:rPr>
              <w:t>(ii) 3/11/27</w:t>
            </w: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63,800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63,800</w:t>
            </w:r>
          </w:p>
        </w:tc>
        <w:tc>
          <w:tcPr>
            <w:tcW w:w="0" w:type="dxa"/>
            <w:vAlign w:val="bottom"/>
          </w:tcPr>
          <w:p>
            <w:pPr>
              <w:spacing w:after="0"/>
              <w:rPr>
                <w:sz w:val="1"/>
                <w:szCs w:val="1"/>
                <w:color w:val="auto"/>
              </w:rPr>
            </w:pPr>
          </w:p>
        </w:tc>
      </w:tr>
      <w:tr>
        <w:trPr>
          <w:trHeight w:val="198"/>
        </w:trPr>
        <w:tc>
          <w:tcPr>
            <w:tcW w:w="2940" w:type="dxa"/>
            <w:vAlign w:val="bottom"/>
            <w:vMerge w:val="continue"/>
            <w:shd w:val="clear" w:color="auto" w:fill="CCEEFF"/>
          </w:tcPr>
          <w:p>
            <w:pPr>
              <w:spacing w:after="0"/>
              <w:rPr>
                <w:sz w:val="17"/>
                <w:szCs w:val="17"/>
                <w:color w:val="auto"/>
              </w:rPr>
            </w:pPr>
          </w:p>
        </w:tc>
        <w:tc>
          <w:tcPr>
            <w:tcW w:w="3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(iii) 11/16/27</w:t>
            </w:r>
          </w:p>
        </w:tc>
        <w:tc>
          <w:tcPr>
            <w:tcW w:w="14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 xml:space="preserve">Jefferson Credit Agreement October 2024 </w:t>
            </w:r>
            <w:r>
              <w:rPr>
                <w:rFonts w:ascii="Arial" w:cs="Arial" w:eastAsia="Arial" w:hAnsi="Arial"/>
                <w:sz w:val="18"/>
                <w:szCs w:val="18"/>
                <w:color w:val="auto"/>
                <w:vertAlign w:val="superscript"/>
              </w:rPr>
              <w:t>(2)</w:t>
            </w:r>
          </w:p>
        </w:tc>
        <w:tc>
          <w:tcPr>
            <w:tcW w:w="3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(i) Base Rate + 3.00%; or</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7/18/25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49,056</w:t>
            </w:r>
          </w:p>
        </w:tc>
        <w:tc>
          <w:tcPr>
            <w:tcW w:w="0" w:type="dxa"/>
            <w:vAlign w:val="bottom"/>
          </w:tcPr>
          <w:p>
            <w:pPr>
              <w:spacing w:after="0"/>
              <w:rPr>
                <w:sz w:val="1"/>
                <w:szCs w:val="1"/>
                <w:color w:val="auto"/>
              </w:rPr>
            </w:pPr>
          </w:p>
        </w:tc>
      </w:tr>
      <w:tr>
        <w:trPr>
          <w:trHeight w:val="189"/>
        </w:trPr>
        <w:tc>
          <w:tcPr>
            <w:tcW w:w="2940" w:type="dxa"/>
            <w:vAlign w:val="bottom"/>
            <w:vMerge w:val="continue"/>
          </w:tcPr>
          <w:p>
            <w:pPr>
              <w:spacing w:after="0"/>
              <w:rPr>
                <w:sz w:val="16"/>
                <w:szCs w:val="16"/>
                <w:color w:val="auto"/>
              </w:rPr>
            </w:pPr>
          </w:p>
        </w:tc>
        <w:tc>
          <w:tcPr>
            <w:tcW w:w="3500" w:type="dxa"/>
            <w:vAlign w:val="bottom"/>
            <w:gridSpan w:val="2"/>
          </w:tcPr>
          <w:p>
            <w:pPr>
              <w:jc w:val="center"/>
              <w:ind w:right="120"/>
              <w:spacing w:after="0"/>
              <w:rPr>
                <w:sz w:val="20"/>
                <w:szCs w:val="20"/>
                <w:color w:val="auto"/>
              </w:rPr>
            </w:pPr>
            <w:r>
              <w:rPr>
                <w:rFonts w:ascii="Arial" w:cs="Arial" w:eastAsia="Arial" w:hAnsi="Arial"/>
                <w:sz w:val="14"/>
                <w:szCs w:val="14"/>
                <w:color w:val="auto"/>
              </w:rPr>
              <w:t>(ii) Base Rate + 4.00% (Term SOFR)</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Jefferson Credit Agreement June 2025 </w:t>
            </w:r>
            <w:r>
              <w:rPr>
                <w:rFonts w:ascii="Arial" w:cs="Arial" w:eastAsia="Arial" w:hAnsi="Arial"/>
                <w:sz w:val="18"/>
                <w:szCs w:val="18"/>
                <w:color w:val="auto"/>
                <w:vertAlign w:val="superscript"/>
              </w:rPr>
              <w:t>(4)</w:t>
            </w:r>
          </w:p>
        </w:tc>
        <w:tc>
          <w:tcPr>
            <w:tcW w:w="35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(i) Base Rate + 3.00%; or</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8/31/26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40" w:type="dxa"/>
            <w:vAlign w:val="bottom"/>
            <w:vMerge w:val="continue"/>
            <w:shd w:val="clear" w:color="auto" w:fill="CCEEFF"/>
          </w:tcPr>
          <w:p>
            <w:pPr>
              <w:spacing w:after="0"/>
              <w:rPr>
                <w:sz w:val="16"/>
                <w:szCs w:val="16"/>
                <w:color w:val="auto"/>
              </w:rPr>
            </w:pPr>
          </w:p>
        </w:tc>
        <w:tc>
          <w:tcPr>
            <w:tcW w:w="35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(ii) Base Rate + 4.00% (Term SOFR)</w:t>
            </w: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RailCo Revolver</w:t>
            </w:r>
          </w:p>
        </w:tc>
        <w:tc>
          <w:tcPr>
            <w:tcW w:w="3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(i) Base Rate + 2.00%; or</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11/17/28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40" w:type="dxa"/>
            <w:vAlign w:val="bottom"/>
            <w:vMerge w:val="continue"/>
          </w:tcPr>
          <w:p>
            <w:pPr>
              <w:spacing w:after="0"/>
              <w:rPr>
                <w:sz w:val="16"/>
                <w:szCs w:val="16"/>
                <w:color w:val="auto"/>
              </w:rPr>
            </w:pPr>
          </w:p>
        </w:tc>
        <w:tc>
          <w:tcPr>
            <w:tcW w:w="3500" w:type="dxa"/>
            <w:vAlign w:val="bottom"/>
            <w:gridSpan w:val="2"/>
          </w:tcPr>
          <w:p>
            <w:pPr>
              <w:jc w:val="center"/>
              <w:ind w:right="120"/>
              <w:spacing w:after="0"/>
              <w:rPr>
                <w:sz w:val="20"/>
                <w:szCs w:val="20"/>
                <w:color w:val="auto"/>
              </w:rPr>
            </w:pPr>
            <w:r>
              <w:rPr>
                <w:rFonts w:ascii="Arial" w:cs="Arial" w:eastAsia="Arial" w:hAnsi="Arial"/>
                <w:sz w:val="14"/>
                <w:szCs w:val="14"/>
                <w:color w:val="auto"/>
              </w:rPr>
              <w:t>(ii) Base Rate + 3.00% (Term SOFR)</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Acquiom Loan</w:t>
            </w:r>
          </w:p>
        </w:tc>
        <w:tc>
          <w:tcPr>
            <w:tcW w:w="3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6/7/26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Arial" w:cs="Arial" w:eastAsia="Arial" w:hAnsi="Arial"/>
                <w:sz w:val="14"/>
                <w:szCs w:val="14"/>
                <w:color w:val="auto"/>
              </w:rPr>
              <w:t>Long Ridge GCM Note</w:t>
            </w:r>
          </w:p>
        </w:tc>
        <w:tc>
          <w:tcPr>
            <w:tcW w:w="3400" w:type="dxa"/>
            <w:vAlign w:val="bottom"/>
          </w:tcPr>
          <w:p>
            <w:pPr>
              <w:jc w:val="center"/>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2/26/28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CanAm Loan</w:t>
            </w:r>
          </w:p>
        </w:tc>
        <w:tc>
          <w:tcPr>
            <w:tcW w:w="3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9/13/29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Long Ridge Credit Agreement</w:t>
            </w:r>
          </w:p>
        </w:tc>
        <w:tc>
          <w:tcPr>
            <w:tcW w:w="3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(i) Base Rate + 3.50%; or</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2/19/32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397,000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vMerge w:val="continue"/>
          </w:tcPr>
          <w:p>
            <w:pPr>
              <w:spacing w:after="0"/>
              <w:rPr>
                <w:sz w:val="16"/>
                <w:szCs w:val="16"/>
                <w:color w:val="auto"/>
              </w:rPr>
            </w:pPr>
          </w:p>
        </w:tc>
        <w:tc>
          <w:tcPr>
            <w:tcW w:w="35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rPr>
              <w:t>(ii) Base Rate + 4.50% (Term SOFR)</w:t>
            </w:r>
          </w:p>
        </w:tc>
        <w:tc>
          <w:tcPr>
            <w:tcW w:w="12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loans payable</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2,031,493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157,106</w:t>
            </w: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Bonds payable</w:t>
            </w: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Series 2020 Bonds </w:t>
            </w:r>
            <w:r>
              <w:rPr>
                <w:rFonts w:ascii="Arial" w:cs="Arial" w:eastAsia="Arial" w:hAnsi="Arial"/>
                <w:sz w:val="18"/>
                <w:szCs w:val="18"/>
                <w:color w:val="auto"/>
                <w:vertAlign w:val="superscript"/>
              </w:rPr>
              <w:t>(2)</w:t>
            </w:r>
          </w:p>
        </w:tc>
        <w:tc>
          <w:tcPr>
            <w:tcW w:w="35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(i) Tax Exempt Series 2020A Bonds: 3.625%</w:t>
            </w:r>
          </w:p>
        </w:tc>
        <w:tc>
          <w:tcPr>
            <w:tcW w:w="1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(i) 1/1/35</w:t>
            </w:r>
          </w:p>
        </w:tc>
        <w:tc>
          <w:tcPr>
            <w:tcW w:w="14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140,753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143,165</w:t>
            </w:r>
          </w:p>
        </w:tc>
        <w:tc>
          <w:tcPr>
            <w:tcW w:w="0" w:type="dxa"/>
            <w:vAlign w:val="bottom"/>
          </w:tcPr>
          <w:p>
            <w:pPr>
              <w:spacing w:after="0"/>
              <w:rPr>
                <w:sz w:val="1"/>
                <w:szCs w:val="1"/>
                <w:color w:val="auto"/>
              </w:rPr>
            </w:pPr>
          </w:p>
        </w:tc>
      </w:tr>
      <w:tr>
        <w:trPr>
          <w:trHeight w:val="189"/>
        </w:trPr>
        <w:tc>
          <w:tcPr>
            <w:tcW w:w="2940" w:type="dxa"/>
            <w:vAlign w:val="bottom"/>
            <w:vMerge w:val="continue"/>
            <w:shd w:val="clear" w:color="auto" w:fill="CCEEFF"/>
          </w:tcPr>
          <w:p>
            <w:pPr>
              <w:spacing w:after="0"/>
              <w:rPr>
                <w:sz w:val="16"/>
                <w:szCs w:val="16"/>
                <w:color w:val="auto"/>
              </w:rPr>
            </w:pP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Tax Exempt Series 2020A Bonds: 4.00%</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1/1/50</w:t>
            </w:r>
          </w:p>
        </w:tc>
        <w:tc>
          <w:tcPr>
            <w:tcW w:w="14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3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(i) Tax Exempt Series 2021A Bonds: 1.875% to</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(i) 1/1/26 to 1/1/50</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 xml:space="preserve">Series 2021 Bonds </w:t>
            </w:r>
            <w:r>
              <w:rPr>
                <w:rFonts w:ascii="Arial" w:cs="Arial" w:eastAsia="Arial" w:hAnsi="Arial"/>
                <w:sz w:val="18"/>
                <w:szCs w:val="18"/>
                <w:color w:val="auto"/>
                <w:vertAlign w:val="superscript"/>
              </w:rPr>
              <w:t>(2)</w:t>
            </w:r>
          </w:p>
        </w:tc>
        <w:tc>
          <w:tcPr>
            <w:tcW w:w="3400" w:type="dxa"/>
            <w:vAlign w:val="bottom"/>
          </w:tcPr>
          <w:p>
            <w:pPr>
              <w:jc w:val="center"/>
              <w:spacing w:after="0" w:line="149" w:lineRule="exact"/>
              <w:rPr>
                <w:sz w:val="20"/>
                <w:szCs w:val="20"/>
                <w:color w:val="auto"/>
              </w:rPr>
            </w:pPr>
            <w:r>
              <w:rPr>
                <w:rFonts w:ascii="Arial" w:cs="Arial" w:eastAsia="Arial" w:hAnsi="Arial"/>
                <w:sz w:val="14"/>
                <w:szCs w:val="14"/>
                <w:color w:val="auto"/>
              </w:rPr>
              <w:t>3.00%</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348,240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352,685</w:t>
            </w:r>
          </w:p>
        </w:tc>
        <w:tc>
          <w:tcPr>
            <w:tcW w:w="0" w:type="dxa"/>
            <w:vAlign w:val="bottom"/>
          </w:tcPr>
          <w:p>
            <w:pPr>
              <w:spacing w:after="0"/>
              <w:rPr>
                <w:sz w:val="1"/>
                <w:szCs w:val="1"/>
                <w:color w:val="auto"/>
              </w:rPr>
            </w:pPr>
          </w:p>
        </w:tc>
      </w:tr>
      <w:tr>
        <w:trPr>
          <w:trHeight w:val="189"/>
        </w:trPr>
        <w:tc>
          <w:tcPr>
            <w:tcW w:w="2940" w:type="dxa"/>
            <w:vAlign w:val="bottom"/>
            <w:vMerge w:val="continue"/>
          </w:tcPr>
          <w:p>
            <w:pPr>
              <w:spacing w:after="0"/>
              <w:rPr>
                <w:sz w:val="16"/>
                <w:szCs w:val="16"/>
                <w:color w:val="auto"/>
              </w:rPr>
            </w:pPr>
          </w:p>
        </w:tc>
        <w:tc>
          <w:tcPr>
            <w:tcW w:w="3500" w:type="dxa"/>
            <w:vAlign w:val="bottom"/>
            <w:gridSpan w:val="2"/>
          </w:tcPr>
          <w:p>
            <w:pPr>
              <w:jc w:val="center"/>
              <w:ind w:right="100"/>
              <w:spacing w:after="0"/>
              <w:rPr>
                <w:sz w:val="20"/>
                <w:szCs w:val="20"/>
                <w:color w:val="auto"/>
              </w:rPr>
            </w:pPr>
            <w:r>
              <w:rPr>
                <w:rFonts w:ascii="Arial" w:cs="Arial" w:eastAsia="Arial" w:hAnsi="Arial"/>
                <w:sz w:val="14"/>
                <w:szCs w:val="14"/>
                <w:color w:val="auto"/>
              </w:rPr>
              <w:t>(ii) Taxable Series 2021B Bonds: 4.10%</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rPr>
              <w:t>(ii) 1/1/28</w:t>
            </w: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35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(i) Tax Exempt Series 2024A Bonds: 5.000% to</w:t>
            </w:r>
          </w:p>
        </w:tc>
        <w:tc>
          <w:tcPr>
            <w:tcW w:w="1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(i) 1/1/39 to</w:t>
            </w:r>
          </w:p>
        </w:tc>
        <w:tc>
          <w:tcPr>
            <w:tcW w:w="1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Series 2024 Bonds </w:t>
            </w:r>
            <w:r>
              <w:rPr>
                <w:rFonts w:ascii="Arial" w:cs="Arial" w:eastAsia="Arial" w:hAnsi="Arial"/>
                <w:sz w:val="18"/>
                <w:szCs w:val="18"/>
                <w:color w:val="auto"/>
                <w:vertAlign w:val="superscript"/>
              </w:rPr>
              <w:t>(2) (4)</w:t>
            </w:r>
          </w:p>
        </w:tc>
        <w:tc>
          <w:tcPr>
            <w:tcW w:w="34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5.250%</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1/1/54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378,458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368,513</w:t>
            </w:r>
          </w:p>
        </w:tc>
        <w:tc>
          <w:tcPr>
            <w:tcW w:w="0" w:type="dxa"/>
            <w:vAlign w:val="bottom"/>
          </w:tcPr>
          <w:p>
            <w:pPr>
              <w:spacing w:after="0"/>
              <w:rPr>
                <w:sz w:val="1"/>
                <w:szCs w:val="1"/>
                <w:color w:val="auto"/>
              </w:rPr>
            </w:pPr>
          </w:p>
        </w:tc>
      </w:tr>
      <w:tr>
        <w:trPr>
          <w:trHeight w:val="198"/>
        </w:trPr>
        <w:tc>
          <w:tcPr>
            <w:tcW w:w="2940" w:type="dxa"/>
            <w:vAlign w:val="bottom"/>
            <w:vMerge w:val="continue"/>
            <w:shd w:val="clear" w:color="auto" w:fill="CCEEFF"/>
          </w:tcPr>
          <w:p>
            <w:pPr>
              <w:spacing w:after="0"/>
              <w:rPr>
                <w:sz w:val="17"/>
                <w:szCs w:val="17"/>
                <w:color w:val="auto"/>
              </w:rPr>
            </w:pP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Taxable Series 2024B Bonds: 10.000%</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7/1/26</w:t>
            </w:r>
          </w:p>
        </w:tc>
        <w:tc>
          <w:tcPr>
            <w:tcW w:w="14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 xml:space="preserve">Series 2025 Bonds </w:t>
            </w:r>
            <w:r>
              <w:rPr>
                <w:rFonts w:ascii="Arial" w:cs="Arial" w:eastAsia="Arial" w:hAnsi="Arial"/>
                <w:sz w:val="18"/>
                <w:szCs w:val="18"/>
                <w:color w:val="auto"/>
                <w:vertAlign w:val="superscript"/>
              </w:rPr>
              <w:t>(2)</w:t>
            </w:r>
          </w:p>
        </w:tc>
        <w:tc>
          <w:tcPr>
            <w:tcW w:w="3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(i) Tax Exempt Series 2025 Bonds: 6.375%</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(i) 1/1/35</w:t>
            </w: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297,087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40" w:type="dxa"/>
            <w:vAlign w:val="bottom"/>
            <w:vMerge w:val="continue"/>
          </w:tcPr>
          <w:p>
            <w:pPr>
              <w:spacing w:after="0"/>
              <w:rPr>
                <w:sz w:val="16"/>
                <w:szCs w:val="16"/>
                <w:color w:val="auto"/>
              </w:rPr>
            </w:pPr>
          </w:p>
        </w:tc>
        <w:tc>
          <w:tcPr>
            <w:tcW w:w="3500" w:type="dxa"/>
            <w:vAlign w:val="bottom"/>
            <w:gridSpan w:val="2"/>
          </w:tcPr>
          <w:p>
            <w:pPr>
              <w:jc w:val="center"/>
              <w:ind w:right="100"/>
              <w:spacing w:after="0"/>
              <w:rPr>
                <w:sz w:val="20"/>
                <w:szCs w:val="20"/>
                <w:color w:val="auto"/>
              </w:rPr>
            </w:pPr>
            <w:r>
              <w:rPr>
                <w:rFonts w:ascii="Arial" w:cs="Arial" w:eastAsia="Arial" w:hAnsi="Arial"/>
                <w:sz w:val="14"/>
                <w:szCs w:val="14"/>
                <w:color w:val="auto"/>
              </w:rPr>
              <w:t>(ii) Tax Exempt Series 2025 Bonds: 6.625%</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rPr>
              <w:t>(ii) 1/1/45</w:t>
            </w: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Senior Notes due 2027 </w:t>
            </w:r>
            <w:r>
              <w:rPr>
                <w:rFonts w:ascii="Arial" w:cs="Arial" w:eastAsia="Arial" w:hAnsi="Arial"/>
                <w:sz w:val="18"/>
                <w:szCs w:val="18"/>
                <w:color w:val="auto"/>
                <w:vertAlign w:val="superscript"/>
              </w:rPr>
              <w:t>(2)</w:t>
            </w:r>
          </w:p>
        </w:tc>
        <w:tc>
          <w:tcPr>
            <w:tcW w:w="3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10.500%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581,169</w:t>
            </w:r>
          </w:p>
        </w:tc>
        <w:tc>
          <w:tcPr>
            <w:tcW w:w="0" w:type="dxa"/>
            <w:vAlign w:val="bottom"/>
          </w:tcPr>
          <w:p>
            <w:pPr>
              <w:spacing w:after="0"/>
              <w:rPr>
                <w:sz w:val="1"/>
                <w:szCs w:val="1"/>
                <w:color w:val="auto"/>
              </w:rPr>
            </w:pPr>
          </w:p>
        </w:tc>
      </w:tr>
      <w:tr>
        <w:trPr>
          <w:trHeight w:val="202"/>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Senior Notes due 2032</w:t>
            </w:r>
          </w:p>
        </w:tc>
        <w:tc>
          <w:tcPr>
            <w:tcW w:w="34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8.75%</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2/15/32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600,000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bonds payable</w:t>
            </w:r>
          </w:p>
        </w:tc>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1,764,538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1,445,532</w:t>
            </w:r>
          </w:p>
        </w:tc>
        <w:tc>
          <w:tcPr>
            <w:tcW w:w="0" w:type="dxa"/>
            <w:vAlign w:val="bottom"/>
          </w:tcPr>
          <w:p>
            <w:pPr>
              <w:spacing w:after="0"/>
              <w:rPr>
                <w:sz w:val="1"/>
                <w:szCs w:val="1"/>
                <w:color w:val="auto"/>
              </w:rPr>
            </w:pPr>
          </w:p>
        </w:tc>
      </w:tr>
      <w:tr>
        <w:trPr>
          <w:trHeight w:val="195"/>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Total debt</w:t>
            </w: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3,796,031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1,602,638</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Debt issuance costs</w:t>
            </w:r>
          </w:p>
        </w:tc>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(21,858)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(14,803)</w:t>
            </w:r>
          </w:p>
        </w:tc>
        <w:tc>
          <w:tcPr>
            <w:tcW w:w="0" w:type="dxa"/>
            <w:vAlign w:val="bottom"/>
          </w:tcPr>
          <w:p>
            <w:pPr>
              <w:spacing w:after="0"/>
              <w:rPr>
                <w:sz w:val="1"/>
                <w:szCs w:val="1"/>
                <w:color w:val="auto"/>
              </w:rPr>
            </w:pPr>
          </w:p>
        </w:tc>
      </w:tr>
      <w:tr>
        <w:trPr>
          <w:trHeight w:val="197"/>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Total debt, net</w:t>
            </w: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3,774,173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1,587,835</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Principal debt due within one year</w:t>
            </w: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66,987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Debt issuance costs</w:t>
            </w:r>
          </w:p>
        </w:tc>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129"/>
        </w:trPr>
        <w:tc>
          <w:tcPr>
            <w:tcW w:w="29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principal debt, net due within one</w:t>
            </w: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65,438</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48,594</w:t>
            </w:r>
          </w:p>
        </w:tc>
        <w:tc>
          <w:tcPr>
            <w:tcW w:w="0" w:type="dxa"/>
            <w:vAlign w:val="bottom"/>
          </w:tcPr>
          <w:p>
            <w:pPr>
              <w:spacing w:after="0"/>
              <w:rPr>
                <w:sz w:val="1"/>
                <w:szCs w:val="1"/>
                <w:color w:val="auto"/>
              </w:rPr>
            </w:pPr>
          </w:p>
        </w:tc>
      </w:tr>
      <w:tr>
        <w:trPr>
          <w:trHeight w:val="167"/>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64"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2"/>
          <w:szCs w:val="12"/>
          <w:color w:val="auto"/>
        </w:rPr>
        <w:t>Required a quarterly commitment fee at a rate of 1.000% on the average daily unused portion, as well as customary letter of credit fees and agency fees.</w:t>
      </w:r>
    </w:p>
    <w:p>
      <w:pPr>
        <w:spacing w:after="0" w:line="59"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2"/>
          <w:szCs w:val="12"/>
          <w:color w:val="auto"/>
        </w:rPr>
        <w:t>Includes an unamortized discount of $36,313 and $33,557 at December 31, 2025 and 2024, respectively.</w:t>
      </w:r>
    </w:p>
    <w:p>
      <w:pPr>
        <w:spacing w:after="0" w:line="40"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40"/>
        </w:numPr>
        <w:rPr>
          <w:rFonts w:ascii="Arial" w:cs="Arial" w:eastAsia="Arial" w:hAnsi="Arial"/>
          <w:sz w:val="9"/>
          <w:szCs w:val="9"/>
          <w:color w:val="auto"/>
        </w:rPr>
      </w:pPr>
      <w:r>
        <w:rPr>
          <w:rFonts w:ascii="Arial" w:cs="Arial" w:eastAsia="Arial" w:hAnsi="Arial"/>
          <w:sz w:val="14"/>
          <w:szCs w:val="14"/>
          <w:color w:val="auto"/>
        </w:rPr>
        <w:t>See discussion below in Note 8 for extension options related to these debt obligations.</w:t>
      </w:r>
    </w:p>
    <w:p>
      <w:pPr>
        <w:spacing w:after="0" w:line="54" w:lineRule="exact"/>
        <w:rPr>
          <w:rFonts w:ascii="Arial" w:cs="Arial" w:eastAsia="Arial" w:hAnsi="Arial"/>
          <w:sz w:val="9"/>
          <w:szCs w:val="9"/>
          <w:color w:val="auto"/>
        </w:rPr>
      </w:pPr>
    </w:p>
    <w:p>
      <w:pPr>
        <w:ind w:left="140" w:hanging="132"/>
        <w:spacing w:after="0"/>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2"/>
          <w:szCs w:val="12"/>
          <w:color w:val="auto"/>
        </w:rPr>
        <w:t>See Note 21 for details related to the refinancing of the Bridge Loan Credit Agreement and Backstop Agreement for the Series 2024 Bonds.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2025 and 2024, the weighted average interest rates on our short-term borrowings were 9.65% and 8.61%, respectively. As disclosed in this footnote and Note 21, we have contractual extension options, subsequent refinancing and a commitment letter. Accordingly, we have classified certain debt obligations due within one year as long term.</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DRP Revolver</w:t>
      </w:r>
      <w:r>
        <w:rPr>
          <w:rFonts w:ascii="Arial" w:cs="Arial" w:eastAsia="Arial" w:hAnsi="Arial"/>
          <w:sz w:val="16"/>
          <w:szCs w:val="16"/>
          <w:color w:val="000000"/>
        </w:rPr>
        <w:t>—On November 5, 2018, our subsidiary entered into a revolving credit facility (the “DRP Revolver”) that provides for revolving loans in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aggregate amount of $25.0 million. The DRP Revolver is secured by the capital stock of certain of our direct subsidiaries as defined in the related credit agreement.</w:t>
      </w:r>
    </w:p>
    <w:p>
      <w:pPr>
        <w:spacing w:after="0" w:line="5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November 5, 2021, we entered into an amendment to the DRP Revolver, which extended the maturity date under the DRP Revolver to November 5, 2024.</w:t>
      </w:r>
    </w:p>
    <w:p>
      <w:pPr>
        <w:spacing w:after="0" w:line="2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December 22, 2023, we entered into a second amendment to the DRP Revolver which increased the aggregate revolving facility by $25.0 million from $25.0 million to $50.0 million and extended the maturity date under the DRP Revolver to November 5, 2026.</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DRP Revolver includes financial covenants requiring the maintenance of (i) consolidated cash balance of at least $3.0 million at each quarter end date, and (ii) consolidated tangible net worth of at least $180.0 million at each quarter end date in 2022, $190.0 million in 2023, and $200.0 million thereafter. In May 2025, we completed an offering of Series 2025 Bonds (see below) and used a portion of the net proceeds to repay in full the DRP Revolver.</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EB-5 Loan Agreement</w:t>
      </w:r>
      <w:r>
        <w:rPr>
          <w:rFonts w:ascii="Arial" w:cs="Arial" w:eastAsia="Arial" w:hAnsi="Arial"/>
          <w:sz w:val="16"/>
          <w:szCs w:val="16"/>
          <w:color w:val="000000"/>
        </w:rPr>
        <w:t>—On January 25, 2021, Jefferson Terminal entered into a non-recourse loan agreement under the U.S. Citizenship and Immigration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Services EB-5 Program (“EB-5 Loan Agreement”) to pay for the development, construction and acquisition of certain facilities at Jefferson Terminal. The maximum aggregate principal amount available under the EB-5 Loan Agreement is $61.2 million, of which $26.1 million was available under the first tranche and $35.1 million was available under the second tranche. The loans mature in five years from the funding of each individual tranche.</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March 11, 2022, Jefferson Terminal entered into a new EB-5 loan agreement (“EB-5.2 Loan Agreement”). This loan was issued with substantially the same terms as the EB-5 Loan Agreement discussed above and matures in four years from the funding date. The maximum aggregate principal amount available under the EB-5.2 Loan Agreement is $9.7 million.</w:t>
      </w:r>
    </w:p>
    <w:p>
      <w:pPr>
        <w:spacing w:after="0" w:line="7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On November 16, 2022, Jefferson Terminal entered into a new EB-5 loan agreement (“EB-5.3 Loan Agreement”). This loan was issued with substantially the same terms as the EB-5 Loan Agreement discussed above and matures in five years from the funding date. The maximum aggregate principal amount available under the EB-5.3 Loan Agreement is $28.0 million.</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of the three EB-5 loans include an option to extend the maturity by two one-year periods. If the option to extend the maturity is exercised, the interest rate will increase to 6.25% from 5.75% for the extension period.</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3, 2025, Jefferson Terminal exercised its option to extend the maturity of its EB-5 Loan Agreement and EB-5.2 Loan Agreement by one year to January 25, 2027 and March 10, 2027, respectively.</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Transtar Revolver</w:t>
      </w:r>
      <w:r>
        <w:rPr>
          <w:rFonts w:ascii="Arial" w:cs="Arial" w:eastAsia="Arial" w:hAnsi="Arial"/>
          <w:sz w:val="16"/>
          <w:szCs w:val="16"/>
          <w:color w:val="000000"/>
        </w:rPr>
        <w:t>—On December 27, 2022, our subsidiary entered into a revolving credit facility (the “Transtar Revolver”) that provided for revolving loans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 the aggregate amount of $25.0 million. The Transtar Revolver was guaranteed by the Company and certain subsidiaries of Transtar including a pledge of substantially all of their respective assets.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Transtar Revolver included financial covenants requiring the maintenance of (i) a consolidated maximum ratio of total leverage of 3.00 to 1.00 per the terms of the credit agreement and (ii) a consolidated minimum fixed charge coverage ratio of 1.20 to 1.00 per the terms of the credit agreement.</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January 2023, our subsidiary entered into an amendment to the Transtar Revolver for an additional $25.0 million, for a total facility of $50.0 million. In July 2023, we issued an additional $100.0 million aggregate principal amount of 10.500% Senior Notes due 2027 (see below), and used a portion of the net proceeds to repay in full and terminate the Transtar Revolver. We recognized a loss on extinguishment of debt of $0.9 million in the Consolidated Statements of Operations during the year ended December 31, 2023.</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Series 2020 Bonds</w:t>
      </w:r>
      <w:r>
        <w:rPr>
          <w:rFonts w:ascii="Arial" w:cs="Arial" w:eastAsia="Arial" w:hAnsi="Arial"/>
          <w:sz w:val="16"/>
          <w:szCs w:val="16"/>
          <w:color w:val="000000"/>
        </w:rPr>
        <w:t>—On February 11, 2020, Jefferson Terminal issued Series 2020 Bonds in an aggregate principal amount of $264.0 million (“Jefferson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Refinancing”). The Series 2020 Bonds are designated as $184.9 million of Series 2020A Dock and Wharf Facility Revenue Bonds (the “Tax Exempt Series 2020A Bonds”), and $79.1 million of Series 2020B Taxable Facility Revenue Bonds (the “Taxable Series 2020B Bonds”).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Tax Exempt Series 2020A Bonds maturing on January 1, 2035 ($53.5 million aggregate principal amount) bear interest at a fixed rate of 3.625%.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Tax Exempt Series 2020A Bonds maturing on January 1, 2050 ($131.4 million aggregate principal amount) bear interest at a fixed rate of 4.00%.</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Jefferson Terminal used a portion of the net proceeds from this offering to refund, redeem and defease certain indebtedness, and used a portion of the net proceeds to pay for or reimburse the cost of development, construction and acquisition of certain facilities, to fund certain reserve and funded interest accounts related to the Series 2020 Bonds, and to pay for or reimburse certain costs of issuance of the Series 2020 Bonds.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Series 2021 Bonds</w:t>
      </w:r>
      <w:r>
        <w:rPr>
          <w:rFonts w:ascii="Arial" w:cs="Arial" w:eastAsia="Arial" w:hAnsi="Arial"/>
          <w:sz w:val="16"/>
          <w:szCs w:val="16"/>
          <w:color w:val="000000"/>
        </w:rPr>
        <w:t>—On August 18, 2021, Jefferson Terminal issued $425.0 million aggregate principal amount of Series 2021 Bonds, which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designated as $225.0 million of Series 2021A Dock and Wharf Facility Revenue Bonds (the “Series 2021A Bonds”) and $200.0 million of Series 2021B Taxable Facility Revenue Bonds (the “Taxable Series 2021B Bonds”).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Series 2021A Bonds consist of:</w:t>
      </w:r>
    </w:p>
    <w:p>
      <w:pPr>
        <w:spacing w:after="0" w:line="127" w:lineRule="exact"/>
        <w:rPr>
          <w:sz w:val="20"/>
          <w:szCs w:val="20"/>
          <w:color w:val="auto"/>
        </w:rPr>
      </w:pPr>
    </w:p>
    <w:p>
      <w:pPr>
        <w:ind w:left="660" w:right="20" w:hanging="328"/>
        <w:spacing w:after="0" w:line="286"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$39.1 million aggregate principal amount of Serial Bonds maturing between January 1, 2026 and January 1, 2031, and bearing interest at specified fixed rates ranging from 1.875% to 2.625% per annum,</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$38.2 million aggregate principal amount of Term Bonds maturing January 1, 2036, and bearing interest at a fixed rate of 2.750% per annum,</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$44.9 million aggregate principal amount of Term Bonds maturing January 1, 2041, and bearing interest at a fixed rate of 2.875% per annum, and</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$102.8 million aggregate principal amount of Term Bonds maturing January 1, 2050, and bearing interest at a fixed rate of 3.00% per annum.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Taxable Series 2021B Bonds will mature on January 1, 2028, and bear interest at a fixed rate of 4.100% per annum.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Jefferson Terminal has used a portion of the net proceeds to pay for or reimburse the cost of development, construction and acquisition of certain facilities.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Credit Agreement</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May 18, 2023, we entered into a credit agreement, which provided for a $25.0 million secured loan facility (the “Credit Agreement”). In July 2023, we issued an additional $100.0 million aggregate principal amount of 10.500% Senior Notes due 2027 (see below), and used a portion of the net proceeds to repay the Credit Agreement in full. We recognized a loss on extinguishment of debt of $1.1 million in the Consolidated Statements of Operations during the year ended December 31, 2023.</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Senior Notes due 2027</w:t>
      </w:r>
      <w:r>
        <w:rPr>
          <w:rFonts w:ascii="Arial" w:cs="Arial" w:eastAsia="Arial" w:hAnsi="Arial"/>
          <w:sz w:val="16"/>
          <w:szCs w:val="16"/>
          <w:color w:val="000000"/>
        </w:rPr>
        <w:t>—In connection with the spin-off, we issued $500.0 million aggregate principal amount of Senior Notes due 2027 (the “2027 Notes”).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2027 Notes bear interest at a rate of 10.500% per annum, payable semi-annually in arrears on June 1 and December 1 of each year, commencing on December 1, 2022. The 2027 Notes were issued at an issue price equal to 94.585%. The 2027 Notes are guaranteed by the Company and the subsidiaries of Transtar including a pledge of substantially all of their respective assets.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July 5, 2023, we issued an additional $100.0 million aggregate principal amount of 10.500% Senior Notes due 2027, at an issue price equal to 95.50% of principal, plus accrued interest from and including June 1, 2023. These notes have identical terms as the original Senior Notes due 2027, other than with respect to the date of issuance and the issue price, and bear interest at a rate of 10.500% per annum, payable semi-annually in arrears on June 1 and December 1 of each year.</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26, 2025, the Company redeemed all outstanding $600.0 million aggregate principal amount of its 10.500% Senior Secured Notes due 2027 at a redemption price equal to 105.250% of the principal amount thereof, plus accrued and unpaid interest using a portion of the net proceeds from the Bridge Loan. We recognized a loss on extinguishment of debt of $55.2 million for the redemption of Senior Notes due 2027.</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October 2024 Jefferson Credit Agreement</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October 18, 2024, our Jefferson Terminal segment entered into a credit agreement (the “October 2024 Jefferson Credit Agreement”), providing for a $50.0 million term loan facility, which matures at the earlier of (i) July 18, 2025 or (ii) after December 31, 2024, the date on which a cash dividend payment on our preferred stock is paid or is required to be paid pursuant to the terms of such preferred stock, and bears interest at 4.00% plus the applicable forward-looking term rate based on SOFR.</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March 11, 2025, our Jefferson Terminal segment amended its October 2024 Credit Agreement to include two options to extend the maturity date to (i) January 1, 2026 and subsequently to (ii) April 1, 2026. In May 2025, we completed an offering of Series 2025 Bonds (see below) and used a portion of the net proceeds to repay in full and terminate the October 2024 Jefferson Credit Agreement.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Tender Offer for Series 2020A and Series 2021A Bonds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May 14, 2024, we commenced a cash tender offer (the “Tender Offer”) for up to $105 million aggregate principal amount of the Tax Exempt Series 2020A and Tax Exempt Series 2021A Bonds (the “Target Bonds”).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June 20, 2024 (the “Settlement Date”), we completed the Tender Offer for $108.0 million aggregate principal amount of the Target Bonds under the Tender Offer at an aggregate purchase price of $88.8 million, which includes accrued and unpaid interest on such Target Bonds from the last interest payment date up to, but not including, the Settlement Date. Interest ceased to accrue on the Settlement Date for all accepted Target Bonds.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30, 2024, we repurchased and cancelled an additional $6.0 million of the Tax Exempt Series 2021A Bonds. We wrote off $0.2 million of deferred financing costs during the period and recognized a gain on extinguishment of debt of $0.9 million from this transaction in the Consolidated Statements of Operations during the year ended December 31, 2024.</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Series 2024 Bonds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June 20, 2024, certain subsidiaries within the Jefferson Terminal segment, and the Port of Beaumont Navigation District of Jefferson County, Texas, completed their previously announced offering of $164.4 million principal amount of Series 2024A Dock and Wharf Facility Revenue Bonds (the “Tax Exempt Series 2024A Bonds”) and $217.9 million principal amount of Taxable Series 2024B Facility Revenue Bonds (the “Taxable Series 2024B Bonds” and, together with the Tax Exempt Series 2024A Bonds, the “Series 2024 Bonds”). Certain subsidiaries within the Jefferson Terminal segment pledged certain assets in support of the Series 2024 Bonds.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Tax Exempt Series 2024A Bonds consist of:</w:t>
      </w:r>
    </w:p>
    <w:p>
      <w:pPr>
        <w:spacing w:after="0" w:line="127"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$67,570,000 principal amount of Term Bonds maturing on January 1, 2039, and bearing interest at a fixed rate of 5.000% per annum,</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$44,800,000 principal amount of Term Bonds maturing on January 1, 2044, and bearing interest at a fixed rate of 5.125% per annum, and</w:t>
      </w:r>
    </w:p>
    <w:p>
      <w:pPr>
        <w:spacing w:after="0" w:line="126" w:lineRule="exact"/>
        <w:rPr>
          <w:rFonts w:ascii="Arial" w:cs="Arial" w:eastAsia="Arial" w:hAnsi="Arial"/>
          <w:sz w:val="16"/>
          <w:szCs w:val="16"/>
          <w:color w:val="auto"/>
        </w:rPr>
      </w:pPr>
    </w:p>
    <w:p>
      <w:pPr>
        <w:ind w:right="1080" w:firstLine="332"/>
        <w:spacing w:after="0" w:line="387" w:lineRule="auto"/>
        <w:tabs>
          <w:tab w:leader="none" w:pos="6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$52,055,000 principal amount of Term Bonds maturing on January 1, 2054, and bearing interest at a fixed rate of 5.250% per annum. The Taxable Series 2024B Bonds will mature on July 1, 2026, and bear interest at a fixed rate of 10.000% per annum.</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Jefferson Terminal used a portion of the net proceeds from the Series 2024 Bonds to repay the April 2024 Jefferson Credit Agreement in full, pay for or reimburse the cost of development, construction and acquisition of certain facilities, as well as pay for the Tender Offer. The Company also used a portion of the net proceeds from the Taxable Series 2024B Bonds to defease the Taxable Series 2020B Bonds in full for the aggregate principal amount of $79.1 million. We recognized a loss on modification of debt of $6.0 million from the Series 2024 Bonds and a loss on extinguishment of debt of $3.2 million from the repayment of the April 2024 Jefferson Credit Agreement in connection with this transaction. For the year ended December 31, 2025, we recognized an additional loss on extinguishment of debt of $0.6 million from the repayment of the April 2024 Jefferson Credit Agreement. In conjunction with the repayment associated with the April 2024 Jefferson Credit Agreement, we wrote off $1.8 million of deferred financing costs during the period.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Long Ridge Energy &amp; Power LLC Senior Secured Notes due 2032, GCM Note, CanAm Loan and Credit Agreement</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17, 2024, Long Ridge WV entered into a new loan agreement with CanAm Pennsylvania Regional Center, LP XI (“CanAm”). The transaction closed on September 13, 2024. CanAm has agreed to provide up to $115.2 million to Long Ridge WV. This loan is to mature on September 13, 2029 and has a current interest rate of 6.75%. As of December 31, 2025, Long Ridge WV has fully drawn on the outstanding balance of the loan.</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19, 2025, Long Ridge Energy LLC, a subsidiary of Long Ridge Energy &amp; Power LLC, closed its private offering of $600.0 million aggregate principal amount of 8.750% senior secured notes due 2032 (the “Notes”). The Notes were issued at an issue price equal to 100.00% of principal, plus accrued interest from and including February 19, 2025. The Notes will mature on February 15, 2032. The Notes are jointly and severally guaranteed on a senior secured basis by Long Ridge Energy Generation LLC, a Delaware limited liability company (“PowerCo”), and Ohio GasCo LLC, a Delaware limited liability company (“GasCo”).</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February 19, 2025, Long Ridge entered into a credit agreement to borrow senior secured term loans (the “New Term Loans”) for an aggregate principal amount of $400.0 million. The New Term Loans bear interest at SOFR plus 4.50% per annum and mature on February 19, 2032. The New Term Loans are jointly and severally guaranteed on a senior secured basis by PowerCo and GasCo.</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26, 2025, Long Ridge Energy &amp; Power LLC entered into a note to borrow (the “GCM Note”) an aggregate principal amount of $20.0 million. The GCM Note bears interest at 12.00% per annum and matures on February 26, 2028.</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March 2025 Repauno Credit Agreement</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11, 2025, our Repauno segment entered into a credit agreement, providing for a $30.0 million term loan facility, which matures on July 18, 2025 with the option to extend the maturity date to April 1, 2026, and bears interest at the sum of 4.00% plus the SOFR as administered by the Federal Reserve Bank of New York. In May 2025, we completed an offering of Series 2025 Bonds (see below) and used a portion of the net proceeds to repay in full and terminate the March 2025 Repauno Credit Agreement.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May 2025 Long Ridge Credit Agreement</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7, 2025, our Power and Gas segment entered into a credit agreement (“Long Ridge Acquiom Loan”) providing for a $40.0 million loan facility, which matures on June 7, 2026, and bears interest at 15.75%. On September 5, 2025, December 2, 2025 and December 23, 2025, we paid down $4.3 million, $12.2 million and $2.4 million of the loan, respectively.</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Long Ridge Acquiom Loan included financial covenants requiring a balance of $12.5 million of unrestricted cash and cash equivalents of Long Ridge Energy and Power LLC.</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Series 2025 Bonds and DRP DB Term Loan</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May 28, 2025, certain subsidiaries within the Repauno segment, and the New Jersey Economic Development Authority, completed their previously announced offering of $300.0 million principal amount of Series 2025 Bonds (the “Tax Exempt Series 2025 Bonds”). Concurrently with the closing of the Tax Exempt Series 2025 Bonds, Repauno entered into a senior secured credit agreement for an aggregate principal amount of $100.0 million of Taxable Term Loans (the “DRP DB Term Loan”). Certain subsidiaries within the Repauno segment pledged certain assets in support of the Series 2025 Bonds and DRP DB Term Loan.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Tax Exempt Series 2025 Bonds consist of:</w:t>
      </w:r>
    </w:p>
    <w:p>
      <w:pPr>
        <w:spacing w:after="0" w:line="127"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$150.0 million principal amount of Term Bonds maturing on January 1, 2035, and bearing interest at a fixed rate of 6.375% per annum,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$150.0 million principal amount of Term Bonds maturing on January 1, 2045, and bearing interest at a fixed rate of 6.625% per annum.</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DRP DB Term Loan will mature in 18 months from initial funding, and bear interest at a fixed rate of 8.50% per annum, with an option to PIK at 9.50%. We have the option to extend the maturity date by three six-month periods. Additionally, there was a $6.0 million Letter of Credit (“LOC”) issued to the Company in accordance with this transaction. The LOC was not drawn upon as of December 31, 2025.</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Repauno used a portion of the net proceeds from the Tax Exempt Series 2025 Bonds to repay the March 2025 Repauno Credit Agreement and pay for or reimburse the cost of development, construction and acquisition of certain facilities. The Company also used a portion of the net proceeds from the DRP DB Term Loan to repay the DRP Revolver and October 2024 Jefferson Credit Agreement in full. We recognized a loss on modification of debt of (i) $0.7 million from the repayment of the October 2024 Jefferson Credit Agreement, (ii) $2.6 million from the repayment of the March 2025 Repauno Credit Agreement and (iii) $0.7 million from the repayment of the DRP Revolver in connection with this transaction.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June 2025 Jefferson Credit Agreement</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June 30, 2025, our Jefferson Terminal segment entered into a credit agreement, providing for a $30.0 million term loan facility, which matures on December 15, 2025 with the option to extend the maturity date to August 31, 2026, and bears interest at the sum of 4.00% plus the SOFR as administered by the Federal Reserve Bank of New York. On December 12, 2025, Jefferson Terminal exercised its option to extend the maturity date of its June 2025 Jefferson Credit Agreement to January 15, 2026. See Note 21 for additional details related to the additional extension and paydown of the June 2025 Jefferson Credit Agreement.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Bridge Loan Credit Agreement</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25, 2025, in connection with the Wheeling Acquisition, the Company entered into a credit agreement (the “Bridge Loan Credit Agreement”), which provides for a 364-day, $1.25 billion secured bridge loan facility (the “Bridge Loan”). The Bridge Loan will mature on August 24, 2026 and accrue interest at the Adjusted SOFR, plus a margin of 4.00% per annum. The Company provided a first-priority security interest in substantially all of its assets, subject to customary exceptions and exclusions, to the Bridge Loan’s administrative agent. We incurred $36.0 million of issuance costs related to the Bridge Loan Credit Agreement. See Note 21 for additional details related to the refinancing of the Bridge Loan Credit Agreement.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RailCo Revolver</w:t>
      </w:r>
    </w:p>
    <w:p>
      <w:pPr>
        <w:spacing w:after="0" w:line="12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November 17, 2025, our Railroad segment entered into a revolving credit facility (“RailCo Revolver”) that provided for revolving loans in the aggregate amount of $50.0 million.</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RailCo Revolver included financial covenants requiring the maintenance of (i) a consolidated maximum ratio of total leverage of 3.00 to 1.00 per the terms of the credit agreement and (ii) a consolidated minimum fixed charge coverage ratio of 1.20 to 1.00 per the terms of the credit agreement.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December 31, 2025.</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scheduled principal repayments under our debt agreements for the next five years and thereafter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2030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20"/>
              <w:spacing w:after="0" w:line="197" w:lineRule="exact"/>
              <w:rPr>
                <w:sz w:val="20"/>
                <w:szCs w:val="20"/>
                <w:color w:val="auto"/>
              </w:rPr>
            </w:pPr>
            <w:r>
              <w:rPr>
                <w:rFonts w:ascii="Arial" w:cs="Arial" w:eastAsia="Arial" w:hAnsi="Arial"/>
                <w:sz w:val="14"/>
                <w:szCs w:val="14"/>
                <w:color w:val="auto"/>
              </w:rPr>
              <w:t xml:space="preserve">EB-5 Loan Agreement </w:t>
            </w:r>
            <w:r>
              <w:rPr>
                <w:rFonts w:ascii="Arial" w:cs="Arial" w:eastAsia="Arial" w:hAnsi="Arial"/>
                <w:sz w:val="18"/>
                <w:szCs w:val="18"/>
                <w:color w:val="auto"/>
                <w:vertAlign w:val="superscript"/>
              </w:rPr>
              <w:t>(1)</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63,800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63,800</w:t>
            </w: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Jefferson Credit Agreement June 2025 </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DRP DB Term Loan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105,828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105,828</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Long Ridge Acquiom Loan</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22,371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22,371</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GCM Note</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Long Ridge CanAm Loan</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115,200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115,200</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Credit Agreement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397,000</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RailCo Revolver</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Bridge Loan Credit Agreement </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1,250,000</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Series 2020 Bonds</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6,070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130,210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143,165</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2021 Bonds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205,415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120,520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352,685</w:t>
            </w: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Series 2024 Bonds </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217,870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159,940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382,295</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2025 Bonds</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Senior Notes due 2032</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37"/>
        </w:trPr>
        <w:tc>
          <w:tcPr>
            <w:tcW w:w="274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Total principal payments on loans and</w:t>
            </w: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1,640,684</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74,715</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282,925</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129,425</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16,925</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1,687,670</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3,832,344</w:t>
            </w:r>
          </w:p>
        </w:tc>
        <w:tc>
          <w:tcPr>
            <w:tcW w:w="0" w:type="dxa"/>
            <w:vAlign w:val="bottom"/>
          </w:tcPr>
          <w:p>
            <w:pPr>
              <w:spacing w:after="0"/>
              <w:rPr>
                <w:sz w:val="1"/>
                <w:szCs w:val="1"/>
                <w:color w:val="auto"/>
              </w:rPr>
            </w:pPr>
          </w:p>
        </w:tc>
      </w:tr>
      <w:tr>
        <w:trPr>
          <w:trHeight w:val="190"/>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118"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2"/>
          <w:szCs w:val="12"/>
          <w:color w:val="auto"/>
        </w:rPr>
        <w:t>See discussion above in Note 8 for extension options related to these debt obligations.</w:t>
      </w:r>
    </w:p>
    <w:p>
      <w:pPr>
        <w:spacing w:after="0" w:line="59"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2"/>
          <w:szCs w:val="12"/>
          <w:color w:val="auto"/>
        </w:rPr>
        <w:t>See Note 21 for details related to the refinancing of the Bridge Loan Credit Agreement and Backstop Agreement for the Series 2024 Bonds.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9. FAIR VALUE MEASUREMENTS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61"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660" w:hanging="328"/>
        <w:spacing w:after="0" w:line="272"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290"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tables set forth our financial assets measured at fair value on a recurring basis by level within the fair value hierarchy. Assets measured at fair value are classified in their entirety based on the lowest level of input that is significant to their fair value measurement.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 as of</w:t>
            </w:r>
          </w:p>
        </w:tc>
        <w:tc>
          <w:tcPr>
            <w:tcW w:w="320" w:type="dxa"/>
            <w:vAlign w:val="bottom"/>
          </w:tcPr>
          <w:p>
            <w:pPr>
              <w:spacing w:after="0"/>
              <w:rPr>
                <w:sz w:val="17"/>
                <w:szCs w:val="17"/>
                <w:color w:val="auto"/>
              </w:rPr>
            </w:pPr>
          </w:p>
        </w:tc>
        <w:tc>
          <w:tcPr>
            <w:tcW w:w="4740" w:type="dxa"/>
            <w:vAlign w:val="bottom"/>
            <w:gridSpan w:val="7"/>
          </w:tcPr>
          <w:p>
            <w:pPr>
              <w:jc w:val="center"/>
              <w:ind w:right="26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2025</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1"/>
                <w:szCs w:val="11"/>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1"/>
                <w:szCs w:val="11"/>
                <w:color w:val="auto"/>
              </w:rPr>
            </w:pPr>
          </w:p>
        </w:tc>
        <w:tc>
          <w:tcPr>
            <w:tcW w:w="13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Technique</w:t>
            </w: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57,351</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57,351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Pr>
          <w:p>
            <w:pPr>
              <w:ind w:left="10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and cash equivalents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268,595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268,595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Arial" w:cs="Arial" w:eastAsia="Arial" w:hAnsi="Arial"/>
                <w:sz w:val="14"/>
                <w:szCs w:val="14"/>
                <w:color w:val="auto"/>
              </w:rPr>
              <w:t>Notes receivable</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13,605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b w:val="1"/>
                <w:bCs w:val="1"/>
                <w:color w:val="auto"/>
              </w:rPr>
              <w:t>13,605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222"/>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339,551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325,946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13,605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(223,497)</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(223,497)</w:t>
            </w:r>
          </w:p>
        </w:tc>
        <w:tc>
          <w:tcPr>
            <w:tcW w:w="10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Pr>
          <w:p>
            <w:pPr>
              <w:ind w:left="10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(81,599)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b w:val="1"/>
                <w:bCs w:val="1"/>
                <w:color w:val="auto"/>
              </w:rPr>
              <w:t>(81,599)</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(305,096)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(223,497)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(81,599)</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 as of</w:t>
            </w:r>
          </w:p>
        </w:tc>
        <w:tc>
          <w:tcPr>
            <w:tcW w:w="320" w:type="dxa"/>
            <w:vAlign w:val="bottom"/>
          </w:tcPr>
          <w:p>
            <w:pPr>
              <w:spacing w:after="0"/>
              <w:rPr>
                <w:sz w:val="24"/>
                <w:szCs w:val="24"/>
                <w:color w:val="auto"/>
              </w:rPr>
            </w:pPr>
          </w:p>
        </w:tc>
        <w:tc>
          <w:tcPr>
            <w:tcW w:w="4740" w:type="dxa"/>
            <w:vAlign w:val="bottom"/>
            <w:gridSpan w:val="7"/>
          </w:tcPr>
          <w:p>
            <w:pPr>
              <w:jc w:val="center"/>
              <w:ind w:right="26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2024</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1"/>
                <w:szCs w:val="11"/>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1"/>
                <w:szCs w:val="11"/>
                <w:color w:val="auto"/>
              </w:rPr>
            </w:pPr>
          </w:p>
        </w:tc>
        <w:tc>
          <w:tcPr>
            <w:tcW w:w="13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Technique</w:t>
            </w: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27,785</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27,785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and cash equivalents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Notes receivable</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11,893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11,893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225"/>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159,189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notes receivable of $13.6 million and $11.9 million as of December 31, 2025 and 2024, respectively, is related to CarbonFree, a business that develops technologies to capture carbon dioxide from industrial emissions sources. We elected the fair value option for this note receivable to better align the reported results with the underlying changes in the value of this note receivable, and record the balance of the note receivable in Other assets in the Consolidated Balance Sheets. The Company records interest income, which is included in Other income in the Consolidated Statements of Operations, on this note receivable using the contractual interest rate.</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of our electricity derivative liabilities are estimated by applying the income approach, which is based on discounted projected future cash flows. The valuation of our electricity derivatives is based on management’s best estimate of certain key assumptions, which include estimated power forward curves, probability of default, and the discount rate.</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cash and cash equivalents and restricted cash and cash equivalents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and cash equivalents consist principally of accounts receivable, notes receivable, accounts payable and accrued liabilities, and loans payable, whose fair values approximate their carrying values based on an evaluation of pricing data, vendor quotes, and historical trading activity or due to their short maturity profiles.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issued warrants in connection with the Wheeling Acquisition, in which the fair value of the warrant liabilities was estimated using a Black-Scholes valuation model, which is considered to be a Level 3 fair value measurement. The fair value of the warrants is based on the underlying shares of RR Holdings. These liabilities are presented within Warrant liabilities on the Consolidated Balance Sheets. The warrant liabilities are measured at fair value at inception and on a recurring basis, with changes in fair value of $4.2 million for the year ended December 31, 2025 presented within Other income in the Consolidated Statements of Operations. The following table presents the key inputs applied in the valuation of the warrant liabilities as of December 31, 2025:</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units</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172,500</w:t>
            </w:r>
          </w:p>
        </w:tc>
      </w:tr>
      <w:tr>
        <w:trPr>
          <w:trHeight w:val="201"/>
        </w:trPr>
        <w:tc>
          <w:tcPr>
            <w:tcW w:w="9260" w:type="dxa"/>
            <w:vAlign w:val="bottom"/>
          </w:tcPr>
          <w:p>
            <w:pPr>
              <w:ind w:left="20"/>
              <w:spacing w:after="0"/>
              <w:rPr>
                <w:sz w:val="20"/>
                <w:szCs w:val="20"/>
                <w:color w:val="auto"/>
              </w:rPr>
            </w:pPr>
            <w:r>
              <w:rPr>
                <w:rFonts w:ascii="Arial" w:cs="Arial" w:eastAsia="Arial" w:hAnsi="Arial"/>
                <w:sz w:val="14"/>
                <w:szCs w:val="14"/>
                <w:color w:val="auto"/>
              </w:rPr>
              <w:t>Fair value at grant date ($ millions)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$85.8</w:t>
            </w:r>
          </w:p>
        </w:tc>
      </w:tr>
      <w:tr>
        <w:trPr>
          <w:trHeight w:val="204"/>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Strike price</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$761.05</w:t>
            </w:r>
          </w:p>
        </w:tc>
      </w:tr>
      <w:tr>
        <w:trPr>
          <w:trHeight w:val="201"/>
        </w:trPr>
        <w:tc>
          <w:tcPr>
            <w:tcW w:w="92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35.00%</w:t>
            </w:r>
          </w:p>
        </w:tc>
      </w:tr>
      <w:tr>
        <w:trPr>
          <w:trHeight w:val="204"/>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free interest rate</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3.60%</w:t>
            </w:r>
          </w:p>
        </w:tc>
      </w:tr>
      <w:tr>
        <w:trPr>
          <w:trHeight w:val="201"/>
        </w:trPr>
        <w:tc>
          <w:tcPr>
            <w:tcW w:w="926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04"/>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w:t>
            </w:r>
          </w:p>
        </w:tc>
        <w:tc>
          <w:tcPr>
            <w:tcW w:w="1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2.8 years</w:t>
            </w:r>
          </w:p>
        </w:tc>
      </w:tr>
      <w:tr>
        <w:trPr>
          <w:trHeight w:val="195"/>
        </w:trPr>
        <w:tc>
          <w:tcPr>
            <w:tcW w:w="9260" w:type="dxa"/>
            <w:vAlign w:val="bottom"/>
          </w:tcPr>
          <w:p>
            <w:pPr>
              <w:ind w:left="20"/>
              <w:spacing w:after="0"/>
              <w:rPr>
                <w:sz w:val="20"/>
                <w:szCs w:val="20"/>
                <w:color w:val="auto"/>
              </w:rPr>
            </w:pPr>
            <w:r>
              <w:rPr>
                <w:rFonts w:ascii="Arial" w:cs="Arial" w:eastAsia="Arial" w:hAnsi="Arial"/>
                <w:sz w:val="14"/>
                <w:szCs w:val="14"/>
                <w:color w:val="auto"/>
              </w:rPr>
              <w:t>Warrant fair value (per share)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$473.04</w:t>
            </w:r>
          </w:p>
        </w:tc>
      </w:tr>
      <w:tr>
        <w:trPr>
          <w:trHeight w:val="22"/>
        </w:trPr>
        <w:tc>
          <w:tcPr>
            <w:tcW w:w="92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Level 3 Reconciliation</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is a reconciliation of the beginning and ending balances of recurring fair value measurements recognized in the accompanying Consolidated Balance Sheet using significant unobservable (Level 3) inputs:</w:t>
      </w:r>
    </w:p>
    <w:p>
      <w:pPr>
        <w:spacing w:after="0" w:line="79" w:lineRule="exact"/>
        <w:rPr>
          <w:sz w:val="20"/>
          <w:szCs w:val="20"/>
          <w:color w:val="auto"/>
        </w:rPr>
      </w:pPr>
    </w:p>
    <w:p>
      <w:pPr>
        <w:ind w:left="9960"/>
        <w:spacing w:after="0"/>
        <w:rPr>
          <w:sz w:val="20"/>
          <w:szCs w:val="20"/>
          <w:color w:val="auto"/>
        </w:rPr>
      </w:pPr>
      <w:r>
        <w:rPr>
          <w:rFonts w:ascii="Arial" w:cs="Arial" w:eastAsia="Arial" w:hAnsi="Arial"/>
          <w:sz w:val="14"/>
          <w:szCs w:val="1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 December 31, 2024</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Purchases and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Unrealized gains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 December 31, 2025</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(85,832)</w:t>
      </w:r>
    </w:p>
    <w:p>
      <w:pPr>
        <w:spacing w:after="0" w:line="42"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4,233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12255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35" w:lineRule="exact"/>
        <w:rPr>
          <w:sz w:val="20"/>
          <w:szCs w:val="20"/>
          <w:color w:val="auto"/>
        </w:rPr>
      </w:pPr>
    </w:p>
    <w:p>
      <w:pPr>
        <w:ind w:left="1360" w:hanging="1353"/>
        <w:spacing w:after="0"/>
        <w:tabs>
          <w:tab w:leader="none" w:pos="136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(81,599)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12255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49530</wp:posOffset>
            </wp:positionV>
            <wp:extent cx="12255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600" w:space="720"/>
            <w:col w:w="1920"/>
          </w:cols>
          <w:pgMar w:left="320" w:top="125" w:right="3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notes payable and loans payable reported as Debt, net in the Consolidated Balance Sheets are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7"/>
                <w:szCs w:val="17"/>
                <w:color w:val="auto"/>
              </w:rPr>
            </w:pPr>
          </w:p>
        </w:tc>
      </w:tr>
      <w:tr>
        <w:trPr>
          <w:trHeight w:val="196"/>
        </w:trPr>
        <w:tc>
          <w:tcPr>
            <w:tcW w:w="8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2020A Bonds </w:t>
            </w:r>
            <w:r>
              <w:rPr>
                <w:rFonts w:ascii="Arial" w:cs="Arial" w:eastAsia="Arial" w:hAnsi="Arial"/>
                <w:sz w:val="9"/>
                <w:szCs w:val="9"/>
                <w:color w:val="auto"/>
              </w:rPr>
              <w:t>(1)</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115,979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122,978</w:t>
            </w:r>
          </w:p>
        </w:tc>
      </w:tr>
      <w:tr>
        <w:trPr>
          <w:trHeight w:val="201"/>
        </w:trPr>
        <w:tc>
          <w:tcPr>
            <w:tcW w:w="8100" w:type="dxa"/>
            <w:vAlign w:val="bottom"/>
          </w:tcPr>
          <w:p>
            <w:pPr>
              <w:ind w:left="20"/>
              <w:spacing w:after="0"/>
              <w:rPr>
                <w:sz w:val="20"/>
                <w:szCs w:val="20"/>
                <w:color w:val="auto"/>
              </w:rPr>
            </w:pPr>
            <w:r>
              <w:rPr>
                <w:rFonts w:ascii="Arial" w:cs="Arial" w:eastAsia="Arial" w:hAnsi="Arial"/>
                <w:sz w:val="14"/>
                <w:szCs w:val="14"/>
                <w:color w:val="auto"/>
              </w:rPr>
              <w:t xml:space="preserve">Series 2021A Bonds </w:t>
            </w:r>
            <w:r>
              <w:rPr>
                <w:rFonts w:ascii="Arial" w:cs="Arial" w:eastAsia="Arial" w:hAnsi="Arial"/>
                <w:sz w:val="9"/>
                <w:szCs w:val="9"/>
                <w:color w:val="auto"/>
              </w:rPr>
              <w:t>(1)</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120,448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121,678</w:t>
            </w:r>
          </w:p>
        </w:tc>
      </w:tr>
      <w:tr>
        <w:trPr>
          <w:trHeight w:val="204"/>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2021B Bonds </w:t>
            </w:r>
            <w:r>
              <w:rPr>
                <w:rFonts w:ascii="Arial" w:cs="Arial" w:eastAsia="Arial" w:hAnsi="Arial"/>
                <w:sz w:val="9"/>
                <w:szCs w:val="9"/>
                <w:color w:val="auto"/>
              </w:rPr>
              <w:t>(1)</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182,630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179,316</w:t>
            </w:r>
          </w:p>
        </w:tc>
      </w:tr>
      <w:tr>
        <w:trPr>
          <w:trHeight w:val="201"/>
        </w:trPr>
        <w:tc>
          <w:tcPr>
            <w:tcW w:w="8100" w:type="dxa"/>
            <w:vAlign w:val="bottom"/>
          </w:tcPr>
          <w:p>
            <w:pPr>
              <w:ind w:left="20"/>
              <w:spacing w:after="0"/>
              <w:rPr>
                <w:sz w:val="20"/>
                <w:szCs w:val="20"/>
                <w:color w:val="auto"/>
              </w:rPr>
            </w:pPr>
            <w:r>
              <w:rPr>
                <w:rFonts w:ascii="Arial" w:cs="Arial" w:eastAsia="Arial" w:hAnsi="Arial"/>
                <w:sz w:val="14"/>
                <w:szCs w:val="14"/>
                <w:color w:val="auto"/>
              </w:rPr>
              <w:t xml:space="preserve">Series 2024A Bonds </w:t>
            </w:r>
            <w:r>
              <w:rPr>
                <w:rFonts w:ascii="Arial" w:cs="Arial" w:eastAsia="Arial" w:hAnsi="Arial"/>
                <w:sz w:val="9"/>
                <w:szCs w:val="9"/>
                <w:color w:val="auto"/>
              </w:rPr>
              <w:t>(1)</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160,802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167,291</w:t>
            </w:r>
          </w:p>
        </w:tc>
      </w:tr>
      <w:tr>
        <w:trPr>
          <w:trHeight w:val="204"/>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2024B Bonds </w:t>
            </w:r>
            <w:r>
              <w:rPr>
                <w:rFonts w:ascii="Arial" w:cs="Arial" w:eastAsia="Arial" w:hAnsi="Arial"/>
                <w:sz w:val="9"/>
                <w:szCs w:val="9"/>
                <w:color w:val="auto"/>
              </w:rPr>
              <w:t>(1)</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222,949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222,609</w:t>
            </w:r>
          </w:p>
        </w:tc>
      </w:tr>
      <w:tr>
        <w:trPr>
          <w:trHeight w:val="201"/>
        </w:trPr>
        <w:tc>
          <w:tcPr>
            <w:tcW w:w="8100" w:type="dxa"/>
            <w:vAlign w:val="bottom"/>
          </w:tcPr>
          <w:p>
            <w:pPr>
              <w:ind w:left="20"/>
              <w:spacing w:after="0"/>
              <w:rPr>
                <w:sz w:val="20"/>
                <w:szCs w:val="20"/>
                <w:color w:val="auto"/>
              </w:rPr>
            </w:pPr>
            <w:r>
              <w:rPr>
                <w:rFonts w:ascii="Arial" w:cs="Arial" w:eastAsia="Arial" w:hAnsi="Arial"/>
                <w:sz w:val="14"/>
                <w:szCs w:val="14"/>
                <w:color w:val="auto"/>
              </w:rPr>
              <w:t xml:space="preserve">Series 2025 Bonds </w:t>
            </w:r>
            <w:r>
              <w:rPr>
                <w:rFonts w:ascii="Arial" w:cs="Arial" w:eastAsia="Arial" w:hAnsi="Arial"/>
                <w:sz w:val="9"/>
                <w:szCs w:val="9"/>
                <w:color w:val="auto"/>
              </w:rPr>
              <w:t>(1)</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309,285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9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642,036</w:t>
            </w:r>
          </w:p>
        </w:tc>
      </w:tr>
      <w:tr>
        <w:trPr>
          <w:trHeight w:val="201"/>
        </w:trPr>
        <w:tc>
          <w:tcPr>
            <w:tcW w:w="8100" w:type="dxa"/>
            <w:vAlign w:val="bottom"/>
          </w:tcPr>
          <w:p>
            <w:pPr>
              <w:ind w:left="20"/>
              <w:spacing w:after="0"/>
              <w:rPr>
                <w:sz w:val="20"/>
                <w:szCs w:val="20"/>
                <w:color w:val="auto"/>
              </w:rPr>
            </w:pPr>
            <w:r>
              <w:rPr>
                <w:rFonts w:ascii="Arial" w:cs="Arial" w:eastAsia="Arial" w:hAnsi="Arial"/>
                <w:sz w:val="14"/>
                <w:szCs w:val="14"/>
                <w:color w:val="auto"/>
              </w:rPr>
              <w:t>Senior Notes due 2032</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638,880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EB-5 Loan Agreement</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25,536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23,208</w:t>
            </w:r>
          </w:p>
        </w:tc>
      </w:tr>
      <w:tr>
        <w:trPr>
          <w:trHeight w:val="201"/>
        </w:trPr>
        <w:tc>
          <w:tcPr>
            <w:tcW w:w="8100" w:type="dxa"/>
            <w:vAlign w:val="bottom"/>
          </w:tcPr>
          <w:p>
            <w:pPr>
              <w:ind w:left="20"/>
              <w:spacing w:after="0"/>
              <w:rPr>
                <w:sz w:val="20"/>
                <w:szCs w:val="20"/>
                <w:color w:val="auto"/>
              </w:rPr>
            </w:pPr>
            <w:r>
              <w:rPr>
                <w:rFonts w:ascii="Arial" w:cs="Arial" w:eastAsia="Arial" w:hAnsi="Arial"/>
                <w:sz w:val="14"/>
                <w:szCs w:val="14"/>
                <w:color w:val="auto"/>
              </w:rPr>
              <w:t>EB-5.2 Loan Agreement</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9,529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8,799</w:t>
            </w: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EB-5.3 Loan Agreement</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25,315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23,583</w:t>
            </w:r>
          </w:p>
        </w:tc>
      </w:tr>
    </w:tbl>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51" w:lineRule="exact"/>
        <w:rPr>
          <w:sz w:val="20"/>
          <w:szCs w:val="20"/>
          <w:color w:val="auto"/>
        </w:rPr>
      </w:pPr>
    </w:p>
    <w:p>
      <w:pPr>
        <w:ind w:left="140" w:hanging="132"/>
        <w:spacing w:after="0"/>
        <w:tabs>
          <w:tab w:leader="none" w:pos="140" w:val="left"/>
        </w:tabs>
        <w:numPr>
          <w:ilvl w:val="0"/>
          <w:numId w:val="48"/>
        </w:numPr>
        <w:rPr>
          <w:rFonts w:ascii="Arial" w:cs="Arial" w:eastAsia="Arial" w:hAnsi="Arial"/>
          <w:sz w:val="9"/>
          <w:szCs w:val="9"/>
          <w:color w:val="auto"/>
        </w:rPr>
      </w:pPr>
      <w:r>
        <w:rPr>
          <w:rFonts w:ascii="Arial" w:cs="Arial" w:eastAsia="Arial" w:hAnsi="Arial"/>
          <w:sz w:val="14"/>
          <w:szCs w:val="14"/>
          <w:color w:val="auto"/>
        </w:rPr>
        <w:t>Fair value is based upon market prices for similar municipal securities.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fair value of all other items reported as Debt, net in the Consolidated Balance Sheets approximate their carrying values due to their bearing market rates of interest and are classified as Level 2 within the fair value hierarchy.</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measure the fair value of certain assets on a non-recurring basis when U.S.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Our discount rate for our fair value measurement of assets upon the acquisition of Long Ridge was 11.5% (refer to Note 3 for additional details). Our discount rate for our fair value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measurement of assets upon the acquisition of Wheeling was 11.5% and our assumed terminal growth rate was 2.5% (refer to Note 3 for additional details).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10. DERIVATIVE FINANCIAL INSTRUMENTS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Long Ridge Energy &amp; Power LLC is subject to electricity price volatility stemming from the sales of electricity from the Long Ridge power generation plant. Long Ridge Energy &amp; Power LLC enters into electricity swap agreements to manage our exposure to electricity price fluctuations. The electricity swap derivatives are designated as hedging instruments within cash flow hedging relationships. The Company recognizes the realized gain or loss in Revenues in our Consolidated Statements of Operations.</w:t>
      </w:r>
    </w:p>
    <w:p>
      <w:pPr>
        <w:spacing w:after="0" w:line="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December 31, 2025, we have a $10.0 million letter of credit and $1.0 million letter of credit that have been provided to electricity swap counterparties and will mature on February 26, 2026 and February 10, 2026, respectively. See Note 21 for additional details related to the extensions of these two letters of credit.</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Long Ridge entered into interest rate swaps to manage our exposure to SOFR increases on the Long Ridge Credit Agreement. These derivatives are not designated as hedging instruments. The Company recognizes the unrealized and realized gain or loss in Interest expense on our Consolidated Statements of Operations and recognizes the unrealized gain or loss in Change in fair value of non-hedge derivative in our Consolidated Statements of Cash Flows.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Long Ridge entered into natural gas price swaps to manage our exposure to natural gas prices at Long Ridge West Virginia. These derivatives are not designated as hedging instruments. The Company recognizes the unrealized and realized gain or loss in Revenue on our Consolidated Statements of Operations and recognizes the unrealized gain or loss in Change in fair value of non-hedge derivative in our Consolidated Statements of Cash Flows.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Refer to Note 2 for our accounting policies related to derivative financial instruments, and refer to Note 9 for our fair value measurement of derivative financial instruments.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outstanding derivative contracts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2025</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140" w:type="dxa"/>
            <w:vAlign w:val="bottom"/>
          </w:tcPr>
          <w:p>
            <w:pPr>
              <w:spacing w:after="0"/>
              <w:rPr>
                <w:sz w:val="12"/>
                <w:szCs w:val="12"/>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Notional Amount</w:t>
            </w: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of Assets</w:t>
            </w:r>
          </w:p>
        </w:tc>
        <w:tc>
          <w:tcPr>
            <w:tcW w:w="200" w:type="dxa"/>
            <w:vAlign w:val="bottom"/>
          </w:tcPr>
          <w:p>
            <w:pPr>
              <w:spacing w:after="0"/>
              <w:rPr>
                <w:sz w:val="12"/>
                <w:szCs w:val="12"/>
                <w:color w:val="auto"/>
              </w:rPr>
            </w:pPr>
          </w:p>
        </w:tc>
        <w:tc>
          <w:tcPr>
            <w:tcW w:w="1240" w:type="dxa"/>
            <w:vAlign w:val="bottom"/>
          </w:tcPr>
          <w:p>
            <w:pPr>
              <w:jc w:val="right"/>
              <w:ind w:right="208"/>
              <w:spacing w:after="0" w:line="147" w:lineRule="exact"/>
              <w:rPr>
                <w:sz w:val="20"/>
                <w:szCs w:val="20"/>
                <w:color w:val="auto"/>
              </w:rPr>
            </w:pPr>
            <w:r>
              <w:rPr>
                <w:rFonts w:ascii="Arial" w:cs="Arial" w:eastAsia="Arial" w:hAnsi="Arial"/>
                <w:sz w:val="14"/>
                <w:szCs w:val="14"/>
                <w:b w:val="1"/>
                <w:bCs w:val="1"/>
                <w:color w:val="auto"/>
              </w:rPr>
              <w:t>Fair Value of</w:t>
            </w:r>
          </w:p>
        </w:tc>
        <w:tc>
          <w:tcPr>
            <w:tcW w:w="1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Cash Flow Hedges:</w:t>
            </w: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rPr>
                <w:sz w:val="20"/>
                <w:szCs w:val="20"/>
                <w:color w:val="auto"/>
              </w:rPr>
            </w:pPr>
            <w:r>
              <w:rPr>
                <w:rFonts w:ascii="Arial" w:cs="Arial" w:eastAsia="Arial" w:hAnsi="Arial"/>
                <w:sz w:val="14"/>
                <w:szCs w:val="14"/>
                <w:color w:val="auto"/>
              </w:rPr>
              <w:t>Electricity Swaps (MWh)</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774,728</w:t>
            </w:r>
          </w:p>
        </w:tc>
        <w:tc>
          <w:tcPr>
            <w:tcW w:w="12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(222,894)</w:t>
            </w: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3 to 6 Years</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Non-Hedge Derivative Instruments: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rPr>
                <w:sz w:val="20"/>
                <w:szCs w:val="20"/>
                <w:color w:val="auto"/>
              </w:rPr>
            </w:pPr>
            <w:r>
              <w:rPr>
                <w:rFonts w:ascii="Arial" w:cs="Arial" w:eastAsia="Arial" w:hAnsi="Arial"/>
                <w:sz w:val="14"/>
                <w:szCs w:val="14"/>
                <w:color w:val="auto"/>
              </w:rPr>
              <w:t>Natural Gas Forward Prices (MMBtu)</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2,425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(171)</w:t>
            </w: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0 Years</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 ($)</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200,000</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(432)</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2 Years</w:t>
            </w: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(223,497)</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fair value for electricity swap and interest rate swap derivatives: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Year Ended December 31, 2025</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Electricity Swaps</w:t>
            </w:r>
          </w:p>
        </w:tc>
        <w:tc>
          <w:tcPr>
            <w:tcW w:w="100" w:type="dxa"/>
            <w:vAlign w:val="bottom"/>
            <w:vMerge w:val="restart"/>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 Rate Swaps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Natural Gas</w:t>
            </w:r>
          </w:p>
        </w:tc>
        <w:tc>
          <w:tcPr>
            <w:tcW w:w="320" w:type="dxa"/>
            <w:vAlign w:val="bottom"/>
          </w:tcPr>
          <w:p>
            <w:pPr>
              <w:spacing w:after="0"/>
              <w:rPr>
                <w:sz w:val="12"/>
                <w:szCs w:val="12"/>
                <w:color w:val="auto"/>
              </w:rPr>
            </w:pPr>
          </w:p>
        </w:tc>
        <w:tc>
          <w:tcPr>
            <w:tcW w:w="11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Forward</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5180" w:type="dxa"/>
            <w:vAlign w:val="bottom"/>
          </w:tcPr>
          <w:p>
            <w:pPr>
              <w:ind w:left="20"/>
              <w:spacing w:after="0"/>
              <w:rPr>
                <w:sz w:val="20"/>
                <w:szCs w:val="20"/>
                <w:color w:val="auto"/>
              </w:rPr>
            </w:pPr>
            <w:r>
              <w:rPr>
                <w:rFonts w:ascii="Arial" w:cs="Arial" w:eastAsia="Arial" w:hAnsi="Arial"/>
                <w:sz w:val="14"/>
                <w:szCs w:val="14"/>
                <w:color w:val="auto"/>
              </w:rPr>
              <w:t>Acquisition of derivative</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(197,795)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340" w:type="dxa"/>
            <w:vAlign w:val="bottom"/>
            <w:gridSpan w:val="2"/>
          </w:tcPr>
          <w:p>
            <w:pPr>
              <w:ind w:left="10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(197,795)</w:t>
            </w:r>
          </w:p>
        </w:tc>
        <w:tc>
          <w:tcPr>
            <w:tcW w:w="0" w:type="dxa"/>
            <w:vAlign w:val="bottom"/>
          </w:tcPr>
          <w:p>
            <w:pPr>
              <w:spacing w:after="0"/>
              <w:rPr>
                <w:sz w:val="1"/>
                <w:szCs w:val="1"/>
                <w:color w:val="auto"/>
              </w:rPr>
            </w:pPr>
          </w:p>
        </w:tc>
      </w:tr>
      <w:tr>
        <w:trPr>
          <w:trHeight w:val="204"/>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Payoff of hedge</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67,005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67,005</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Net unrealized losses recognized in earnings </w:t>
            </w:r>
            <w:r>
              <w:rPr>
                <w:rFonts w:ascii="Arial" w:cs="Arial" w:eastAsia="Arial" w:hAnsi="Arial"/>
                <w:sz w:val="18"/>
                <w:szCs w:val="18"/>
                <w:color w:val="auto"/>
                <w:vertAlign w:val="superscript"/>
              </w:rPr>
              <w:t>(1)</w:t>
            </w:r>
          </w:p>
        </w:tc>
        <w:tc>
          <w:tcPr>
            <w:tcW w:w="12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180" w:type="dxa"/>
            <w:vAlign w:val="bottom"/>
          </w:tcPr>
          <w:p>
            <w:pPr>
              <w:ind w:left="820"/>
              <w:spacing w:after="0"/>
              <w:rPr>
                <w:sz w:val="20"/>
                <w:szCs w:val="20"/>
                <w:color w:val="auto"/>
              </w:rPr>
            </w:pPr>
            <w:r>
              <w:rPr>
                <w:rFonts w:ascii="Arial" w:cs="Arial" w:eastAsia="Arial" w:hAnsi="Arial"/>
                <w:sz w:val="14"/>
                <w:szCs w:val="14"/>
                <w:b w:val="1"/>
                <w:bCs w:val="1"/>
                <w:color w:val="auto"/>
              </w:rPr>
              <w:t>(432)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880"/>
              <w:spacing w:after="0"/>
              <w:rPr>
                <w:sz w:val="20"/>
                <w:szCs w:val="20"/>
                <w:color w:val="auto"/>
              </w:rPr>
            </w:pPr>
            <w:r>
              <w:rPr>
                <w:rFonts w:ascii="Arial" w:cs="Arial" w:eastAsia="Arial" w:hAnsi="Arial"/>
                <w:sz w:val="14"/>
                <w:szCs w:val="14"/>
                <w:b w:val="1"/>
                <w:bCs w:val="1"/>
                <w:color w:val="auto"/>
              </w:rPr>
              <w:t>(171)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(603)</w:t>
            </w:r>
          </w:p>
        </w:tc>
        <w:tc>
          <w:tcPr>
            <w:tcW w:w="0" w:type="dxa"/>
            <w:vAlign w:val="bottom"/>
          </w:tcPr>
          <w:p>
            <w:pPr>
              <w:spacing w:after="0"/>
              <w:rPr>
                <w:sz w:val="1"/>
                <w:szCs w:val="1"/>
                <w:color w:val="auto"/>
              </w:rPr>
            </w:pPr>
          </w:p>
        </w:tc>
      </w:tr>
      <w:tr>
        <w:trPr>
          <w:trHeight w:val="201"/>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losses recognized in other comprehensive loss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(92,104)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(92,104)</w:t>
            </w:r>
          </w:p>
        </w:tc>
        <w:tc>
          <w:tcPr>
            <w:tcW w:w="0" w:type="dxa"/>
            <w:vAlign w:val="bottom"/>
          </w:tcPr>
          <w:p>
            <w:pPr>
              <w:spacing w:after="0"/>
              <w:rPr>
                <w:sz w:val="1"/>
                <w:szCs w:val="1"/>
                <w:color w:val="auto"/>
              </w:rPr>
            </w:pPr>
          </w:p>
        </w:tc>
      </w:tr>
      <w:tr>
        <w:trPr>
          <w:trHeight w:val="197"/>
        </w:trPr>
        <w:tc>
          <w:tcPr>
            <w:tcW w:w="518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(222,894)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b w:val="1"/>
                <w:bCs w:val="1"/>
                <w:color w:val="auto"/>
              </w:rPr>
              <w:t>(432)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b w:val="1"/>
                <w:bCs w:val="1"/>
                <w:color w:val="auto"/>
              </w:rPr>
              <w:t>(171)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(223,497)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64" w:lineRule="exact"/>
        <w:rPr>
          <w:sz w:val="20"/>
          <w:szCs w:val="20"/>
          <w:color w:val="auto"/>
        </w:rPr>
      </w:pPr>
    </w:p>
    <w:p>
      <w:pPr>
        <w:ind w:left="180" w:hanging="172"/>
        <w:spacing w:after="0" w:line="231" w:lineRule="auto"/>
        <w:tabs>
          <w:tab w:leader="none" w:pos="178"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Interest rate swaps are recognized in Interest expense in the Consolidated Statements of Operations. Natural gas forwards are recognized in Revenues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11. REVENUES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 xml:space="preserve">We disaggregate our revenue from contracts with customers by products and services provided for each of our segments, as we believe it best depicts the nature, amount, timing and uncertainty of our revenue. Revenues are within the scope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unless otherwise noted. We have elected to exclude sales and other similar taxes from revenues.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Year Ended December 31, 2025</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rPr>
              <w:t>Ports and Terminals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Railroad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180"/>
              <w:spacing w:after="0" w:line="144" w:lineRule="exact"/>
              <w:rPr>
                <w:sz w:val="20"/>
                <w:szCs w:val="20"/>
                <w:color w:val="auto"/>
              </w:rPr>
            </w:pPr>
            <w:r>
              <w:rPr>
                <w:rFonts w:ascii="Arial" w:cs="Arial" w:eastAsia="Arial" w:hAnsi="Arial"/>
                <w:sz w:val="14"/>
                <w:szCs w:val="14"/>
                <w:b w:val="1"/>
                <w:bCs w:val="1"/>
                <w:color w:val="auto"/>
              </w:rPr>
              <w:t>Jefferson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Repauno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Power and Gas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rPr>
              <w:t>Corporate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9"/>
              </w:rPr>
              <w:t>Terminal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Other</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3,268</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5,089</w:t>
            </w:r>
          </w:p>
        </w:tc>
        <w:tc>
          <w:tcPr>
            <w:tcW w:w="0" w:type="dxa"/>
            <w:vAlign w:val="bottom"/>
          </w:tcPr>
          <w:p>
            <w:pPr>
              <w:spacing w:after="0"/>
              <w:rPr>
                <w:sz w:val="1"/>
                <w:szCs w:val="1"/>
                <w:color w:val="auto"/>
              </w:rPr>
            </w:pPr>
          </w:p>
        </w:tc>
      </w:tr>
      <w:tr>
        <w:trPr>
          <w:trHeight w:val="201"/>
        </w:trPr>
        <w:tc>
          <w:tcPr>
            <w:tcW w:w="314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171,076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1,406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172,482</w:t>
            </w:r>
          </w:p>
        </w:tc>
        <w:tc>
          <w:tcPr>
            <w:tcW w:w="0" w:type="dxa"/>
            <w:vAlign w:val="bottom"/>
          </w:tcPr>
          <w:p>
            <w:pPr>
              <w:spacing w:after="0"/>
              <w:rPr>
                <w:sz w:val="1"/>
                <w:szCs w:val="1"/>
                <w:color w:val="auto"/>
              </w:rPr>
            </w:pPr>
          </w:p>
        </w:tc>
      </w:tr>
      <w:tr>
        <w:trPr>
          <w:trHeight w:val="204"/>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82,390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10,710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1,954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95,054</w:t>
            </w:r>
          </w:p>
        </w:tc>
        <w:tc>
          <w:tcPr>
            <w:tcW w:w="0" w:type="dxa"/>
            <w:vAlign w:val="bottom"/>
          </w:tcPr>
          <w:p>
            <w:pPr>
              <w:spacing w:after="0"/>
              <w:rPr>
                <w:sz w:val="1"/>
                <w:szCs w:val="1"/>
                <w:color w:val="auto"/>
              </w:rPr>
            </w:pPr>
          </w:p>
        </w:tc>
      </w:tr>
      <w:tr>
        <w:trPr>
          <w:trHeight w:val="201"/>
        </w:trPr>
        <w:tc>
          <w:tcPr>
            <w:tcW w:w="3140" w:type="dxa"/>
            <w:vAlign w:val="bottom"/>
          </w:tcPr>
          <w:p>
            <w:pPr>
              <w:ind w:left="20"/>
              <w:spacing w:after="0"/>
              <w:rPr>
                <w:sz w:val="20"/>
                <w:szCs w:val="20"/>
                <w:color w:val="auto"/>
              </w:rPr>
            </w:pPr>
            <w:r>
              <w:rPr>
                <w:rFonts w:ascii="Arial" w:cs="Arial" w:eastAsia="Arial" w:hAnsi="Arial"/>
                <w:sz w:val="14"/>
                <w:szCs w:val="14"/>
                <w:color w:val="auto"/>
              </w:rPr>
              <w:t>Power revenues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156,183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156,183</w:t>
            </w:r>
          </w:p>
        </w:tc>
        <w:tc>
          <w:tcPr>
            <w:tcW w:w="0" w:type="dxa"/>
            <w:vAlign w:val="bottom"/>
          </w:tcPr>
          <w:p>
            <w:pPr>
              <w:spacing w:after="0"/>
              <w:rPr>
                <w:sz w:val="1"/>
                <w:szCs w:val="1"/>
                <w:color w:val="auto"/>
              </w:rPr>
            </w:pPr>
          </w:p>
        </w:tc>
      </w:tr>
      <w:tr>
        <w:trPr>
          <w:trHeight w:val="204"/>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Gas revenues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21,194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21,194</w:t>
            </w:r>
          </w:p>
        </w:tc>
        <w:tc>
          <w:tcPr>
            <w:tcW w:w="0" w:type="dxa"/>
            <w:vAlign w:val="bottom"/>
          </w:tcPr>
          <w:p>
            <w:pPr>
              <w:spacing w:after="0"/>
              <w:rPr>
                <w:sz w:val="1"/>
                <w:szCs w:val="1"/>
                <w:color w:val="auto"/>
              </w:rPr>
            </w:pPr>
          </w:p>
        </w:tc>
      </w:tr>
      <w:tr>
        <w:trPr>
          <w:trHeight w:val="201"/>
        </w:trPr>
        <w:tc>
          <w:tcPr>
            <w:tcW w:w="3140" w:type="dxa"/>
            <w:vAlign w:val="bottom"/>
          </w:tcPr>
          <w:p>
            <w:pPr>
              <w:ind w:left="20"/>
              <w:spacing w:after="0"/>
              <w:rPr>
                <w:sz w:val="20"/>
                <w:szCs w:val="20"/>
                <w:color w:val="auto"/>
              </w:rPr>
            </w:pPr>
            <w:r>
              <w:rPr>
                <w:rFonts w:ascii="Arial" w:cs="Arial" w:eastAsia="Arial" w:hAnsi="Arial"/>
                <w:sz w:val="14"/>
                <w:szCs w:val="14"/>
                <w:color w:val="auto"/>
              </w:rPr>
              <w:t>Roadside services revenues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52,194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52,194</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324</w:t>
            </w:r>
          </w:p>
        </w:tc>
        <w:tc>
          <w:tcPr>
            <w:tcW w:w="0" w:type="dxa"/>
            <w:vAlign w:val="bottom"/>
          </w:tcPr>
          <w:p>
            <w:pPr>
              <w:spacing w:after="0"/>
              <w:rPr>
                <w:sz w:val="1"/>
                <w:szCs w:val="1"/>
                <w:color w:val="auto"/>
              </w:rPr>
            </w:pPr>
          </w:p>
        </w:tc>
      </w:tr>
      <w:tr>
        <w:trPr>
          <w:trHeight w:val="197"/>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172,940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85,658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10,991</w:t>
            </w:r>
          </w:p>
        </w:tc>
        <w:tc>
          <w:tcPr>
            <w:tcW w:w="10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179,331</w:t>
            </w:r>
          </w:p>
        </w:tc>
        <w:tc>
          <w:tcPr>
            <w:tcW w:w="60" w:type="dxa"/>
            <w:vAlign w:val="bottom"/>
            <w:tcBorders>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53,600</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502,520</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2"/>
          </w:tcPr>
          <w:p>
            <w:pPr>
              <w:jc w:val="center"/>
              <w:ind w:right="280"/>
              <w:spacing w:after="0"/>
              <w:rPr>
                <w:sz w:val="20"/>
                <w:szCs w:val="20"/>
                <w:color w:val="auto"/>
              </w:rPr>
            </w:pPr>
            <w:r>
              <w:rPr>
                <w:rFonts w:ascii="Arial" w:cs="Arial" w:eastAsia="Arial" w:hAnsi="Arial"/>
                <w:sz w:val="14"/>
                <w:szCs w:val="14"/>
                <w:b w:val="1"/>
                <w:bCs w:val="1"/>
                <w:color w:val="auto"/>
              </w:rPr>
              <w:t>Year Ended December 31, 2024</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588"/>
              <w:spacing w:after="0"/>
              <w:rPr>
                <w:sz w:val="20"/>
                <w:szCs w:val="20"/>
                <w:color w:val="auto"/>
              </w:rPr>
            </w:pPr>
            <w:r>
              <w:rPr>
                <w:rFonts w:ascii="Arial" w:cs="Arial" w:eastAsia="Arial" w:hAnsi="Arial"/>
                <w:sz w:val="14"/>
                <w:szCs w:val="14"/>
                <w:b w:val="1"/>
                <w:bCs w:val="1"/>
                <w:color w:val="auto"/>
              </w:rPr>
              <w:t>Ports and Terminals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Railroad</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Jefferson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Repauno</w:t>
            </w:r>
          </w:p>
        </w:tc>
        <w:tc>
          <w:tcPr>
            <w:tcW w:w="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Corporate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Terminal</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4,963</w:t>
            </w:r>
          </w:p>
        </w:tc>
        <w:tc>
          <w:tcPr>
            <w:tcW w:w="0" w:type="dxa"/>
            <w:vAlign w:val="bottom"/>
          </w:tcPr>
          <w:p>
            <w:pPr>
              <w:spacing w:after="0"/>
              <w:rPr>
                <w:sz w:val="1"/>
                <w:szCs w:val="1"/>
                <w:color w:val="auto"/>
              </w:rPr>
            </w:pPr>
          </w:p>
        </w:tc>
      </w:tr>
      <w:tr>
        <w:trPr>
          <w:trHeight w:val="199"/>
        </w:trPr>
        <w:tc>
          <w:tcPr>
            <w:tcW w:w="314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178,243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178,243</w:t>
            </w:r>
          </w:p>
        </w:tc>
        <w:tc>
          <w:tcPr>
            <w:tcW w:w="0" w:type="dxa"/>
            <w:vAlign w:val="bottom"/>
          </w:tcPr>
          <w:p>
            <w:pPr>
              <w:spacing w:after="0"/>
              <w:rPr>
                <w:sz w:val="1"/>
                <w:szCs w:val="1"/>
                <w:color w:val="auto"/>
              </w:rPr>
            </w:pPr>
          </w:p>
        </w:tc>
      </w:tr>
      <w:tr>
        <w:trPr>
          <w:trHeight w:val="206"/>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77,467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93,259</w:t>
            </w:r>
          </w:p>
        </w:tc>
        <w:tc>
          <w:tcPr>
            <w:tcW w:w="0" w:type="dxa"/>
            <w:vAlign w:val="bottom"/>
          </w:tcPr>
          <w:p>
            <w:pPr>
              <w:spacing w:after="0"/>
              <w:rPr>
                <w:sz w:val="1"/>
                <w:szCs w:val="1"/>
                <w:color w:val="auto"/>
              </w:rPr>
            </w:pPr>
          </w:p>
        </w:tc>
      </w:tr>
      <w:tr>
        <w:trPr>
          <w:trHeight w:val="199"/>
        </w:trPr>
        <w:tc>
          <w:tcPr>
            <w:tcW w:w="3140" w:type="dxa"/>
            <w:vAlign w:val="bottom"/>
          </w:tcPr>
          <w:p>
            <w:pPr>
              <w:ind w:left="20"/>
              <w:spacing w:after="0"/>
              <w:rPr>
                <w:sz w:val="20"/>
                <w:szCs w:val="20"/>
                <w:color w:val="auto"/>
              </w:rPr>
            </w:pPr>
            <w:r>
              <w:rPr>
                <w:rFonts w:ascii="Arial" w:cs="Arial" w:eastAsia="Arial" w:hAnsi="Arial"/>
                <w:sz w:val="14"/>
                <w:szCs w:val="14"/>
                <w:color w:val="auto"/>
              </w:rPr>
              <w:t>Roadside services revenues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55,000</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0"/>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180,027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80,646</w:t>
            </w:r>
          </w:p>
        </w:tc>
        <w:tc>
          <w:tcPr>
            <w:tcW w:w="80" w:type="dxa"/>
            <w:vAlign w:val="bottom"/>
          </w:tcPr>
          <w:p>
            <w:pPr>
              <w:spacing w:after="0"/>
              <w:rPr>
                <w:sz w:val="17"/>
                <w:szCs w:val="17"/>
                <w:color w:val="auto"/>
              </w:rPr>
            </w:pPr>
          </w:p>
        </w:tc>
        <w:tc>
          <w:tcPr>
            <w:tcW w:w="2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15,824</w:t>
            </w:r>
          </w:p>
        </w:tc>
        <w:tc>
          <w:tcPr>
            <w:tcW w:w="6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55,000</w:t>
            </w:r>
          </w:p>
        </w:tc>
        <w:tc>
          <w:tcPr>
            <w:tcW w:w="40" w:type="dxa"/>
            <w:vAlign w:val="bottom"/>
          </w:tcPr>
          <w:p>
            <w:pPr>
              <w:spacing w:after="0"/>
              <w:rPr>
                <w:sz w:val="17"/>
                <w:szCs w:val="17"/>
                <w:color w:val="auto"/>
              </w:rPr>
            </w:pPr>
          </w:p>
        </w:tc>
        <w:tc>
          <w:tcPr>
            <w:tcW w:w="36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331,497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2"/>
          </w:tcPr>
          <w:p>
            <w:pPr>
              <w:jc w:val="center"/>
              <w:ind w:right="280"/>
              <w:spacing w:after="0"/>
              <w:rPr>
                <w:sz w:val="20"/>
                <w:szCs w:val="20"/>
                <w:color w:val="auto"/>
              </w:rPr>
            </w:pPr>
            <w:r>
              <w:rPr>
                <w:rFonts w:ascii="Arial" w:cs="Arial" w:eastAsia="Arial" w:hAnsi="Arial"/>
                <w:sz w:val="14"/>
                <w:szCs w:val="14"/>
                <w:b w:val="1"/>
                <w:bCs w:val="1"/>
                <w:color w:val="auto"/>
              </w:rPr>
              <w:t>Year Ended December 31, 2023</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588"/>
              <w:spacing w:after="0"/>
              <w:rPr>
                <w:sz w:val="20"/>
                <w:szCs w:val="20"/>
                <w:color w:val="auto"/>
              </w:rPr>
            </w:pPr>
            <w:r>
              <w:rPr>
                <w:rFonts w:ascii="Arial" w:cs="Arial" w:eastAsia="Arial" w:hAnsi="Arial"/>
                <w:sz w:val="14"/>
                <w:szCs w:val="14"/>
                <w:b w:val="1"/>
                <w:bCs w:val="1"/>
                <w:color w:val="auto"/>
              </w:rPr>
              <w:t>Ports and Terminals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Railroad</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Jefferson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Repauno</w:t>
            </w:r>
          </w:p>
        </w:tc>
        <w:tc>
          <w:tcPr>
            <w:tcW w:w="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Corporate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Terminal</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w:t>
            </w: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3,089</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167,793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167,793</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70,709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83,350</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rPr>
                <w:sz w:val="20"/>
                <w:szCs w:val="20"/>
                <w:color w:val="auto"/>
              </w:rPr>
            </w:pPr>
            <w:r>
              <w:rPr>
                <w:rFonts w:ascii="Arial" w:cs="Arial" w:eastAsia="Arial" w:hAnsi="Arial"/>
                <w:sz w:val="14"/>
                <w:szCs w:val="14"/>
                <w:color w:val="auto"/>
              </w:rPr>
              <w:t>Roadside services revenues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68,190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68,190</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0" w:type="dxa"/>
            <w:vAlign w:val="bottom"/>
          </w:tcPr>
          <w:p>
            <w:pPr>
              <w:spacing w:after="0"/>
              <w:rPr>
                <w:sz w:val="1"/>
                <w:szCs w:val="1"/>
                <w:color w:val="auto"/>
              </w:rPr>
            </w:pPr>
          </w:p>
        </w:tc>
      </w:tr>
      <w:tr>
        <w:trPr>
          <w:trHeight w:val="200"/>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169,445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72,146</w:t>
            </w:r>
          </w:p>
        </w:tc>
        <w:tc>
          <w:tcPr>
            <w:tcW w:w="80" w:type="dxa"/>
            <w:vAlign w:val="bottom"/>
          </w:tcPr>
          <w:p>
            <w:pPr>
              <w:spacing w:after="0"/>
              <w:rPr>
                <w:sz w:val="17"/>
                <w:szCs w:val="17"/>
                <w:color w:val="auto"/>
              </w:rPr>
            </w:pPr>
          </w:p>
        </w:tc>
        <w:tc>
          <w:tcPr>
            <w:tcW w:w="2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10,691</w:t>
            </w:r>
          </w:p>
        </w:tc>
        <w:tc>
          <w:tcPr>
            <w:tcW w:w="6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68,190</w:t>
            </w:r>
          </w:p>
        </w:tc>
        <w:tc>
          <w:tcPr>
            <w:tcW w:w="40" w:type="dxa"/>
            <w:vAlign w:val="bottom"/>
          </w:tcPr>
          <w:p>
            <w:pPr>
              <w:spacing w:after="0"/>
              <w:rPr>
                <w:sz w:val="17"/>
                <w:szCs w:val="17"/>
                <w:color w:val="auto"/>
              </w:rPr>
            </w:pPr>
          </w:p>
        </w:tc>
        <w:tc>
          <w:tcPr>
            <w:tcW w:w="36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320,472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and 2024, we recorded capitalized contract cost of $18.6 million and $23.5 million, respectively, of which $4.9 million and $4.9</w:t>
      </w:r>
    </w:p>
    <w:p>
      <w:pPr>
        <w:spacing w:after="0" w:line="5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million, respectively, is included in Other current assets and $13.7 million and $18.6 million is included in Other assets on the Consolidated Balance Sheets. Capitalized contract cost is amortized using the straight-line method, over the expected contract term. We recorded $4.9 million of amortization which is included in Operating expenses in the Consolidated Statements of Operations during the year ended December 31, 2025.</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12. LEASES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have commitments as lessees under lease agreements primarily for real estate, equipment and vehicles. Our leases have remaining lease terms ranging from approximately 0.2 years to 135.9 years.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lease-related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196"/>
        </w:trPr>
        <w:tc>
          <w:tcPr>
            <w:tcW w:w="68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84"/>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1"/>
        </w:trPr>
        <w:tc>
          <w:tcPr>
            <w:tcW w:w="6880" w:type="dxa"/>
            <w:vAlign w:val="bottom"/>
          </w:tcPr>
          <w:p>
            <w:pPr>
              <w:ind w:left="140"/>
              <w:spacing w:after="0"/>
              <w:rPr>
                <w:sz w:val="20"/>
                <w:szCs w:val="20"/>
                <w:color w:val="auto"/>
              </w:rPr>
            </w:pPr>
            <w:r>
              <w:rPr>
                <w:rFonts w:ascii="Arial" w:cs="Arial" w:eastAsia="Arial" w:hAnsi="Arial"/>
                <w:sz w:val="14"/>
                <w:szCs w:val="14"/>
                <w:color w:val="auto"/>
              </w:rPr>
              <w:t>Amortization of right-of-use assets</w:t>
            </w:r>
          </w:p>
        </w:tc>
        <w:tc>
          <w:tcPr>
            <w:tcW w:w="860" w:type="dxa"/>
            <w:vAlign w:val="bottom"/>
          </w:tcPr>
          <w:p>
            <w:pPr>
              <w:jc w:val="right"/>
              <w:ind w:right="68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1,223</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1,169</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1,102</w:t>
            </w:r>
          </w:p>
        </w:tc>
      </w:tr>
      <w:tr>
        <w:trPr>
          <w:trHeight w:val="204"/>
        </w:trPr>
        <w:tc>
          <w:tcPr>
            <w:tcW w:w="6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on lease liabilities</w:t>
            </w:r>
          </w:p>
        </w:tc>
        <w:tc>
          <w:tcPr>
            <w:tcW w:w="8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95"/>
        </w:trPr>
        <w:tc>
          <w:tcPr>
            <w:tcW w:w="6880" w:type="dxa"/>
            <w:vAlign w:val="bottom"/>
          </w:tcPr>
          <w:p>
            <w:pPr>
              <w:ind w:left="20"/>
              <w:spacing w:after="0"/>
              <w:rPr>
                <w:sz w:val="20"/>
                <w:szCs w:val="20"/>
                <w:color w:val="auto"/>
              </w:rPr>
            </w:pPr>
            <w:r>
              <w:rPr>
                <w:rFonts w:ascii="Arial" w:cs="Arial" w:eastAsia="Arial" w:hAnsi="Arial"/>
                <w:sz w:val="14"/>
                <w:szCs w:val="14"/>
                <w:color w:val="auto"/>
              </w:rPr>
              <w:t>Finance lease expense</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1,479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1,343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1,181</w:t>
            </w: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7,696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7,619</w:t>
            </w:r>
          </w:p>
        </w:tc>
      </w:tr>
      <w:tr>
        <w:trPr>
          <w:trHeight w:val="202"/>
        </w:trPr>
        <w:tc>
          <w:tcPr>
            <w:tcW w:w="6880" w:type="dxa"/>
            <w:vAlign w:val="bottom"/>
          </w:tcPr>
          <w:p>
            <w:pPr>
              <w:ind w:left="20"/>
              <w:spacing w:after="0"/>
              <w:rPr>
                <w:sz w:val="20"/>
                <w:szCs w:val="20"/>
                <w:color w:val="auto"/>
              </w:rPr>
            </w:pPr>
            <w:r>
              <w:rPr>
                <w:rFonts w:ascii="Arial" w:cs="Arial" w:eastAsia="Arial" w:hAnsi="Arial"/>
                <w:sz w:val="14"/>
                <w:szCs w:val="14"/>
                <w:color w:val="auto"/>
              </w:rPr>
              <w:t>Short-term lease expense</w:t>
            </w:r>
          </w:p>
        </w:tc>
        <w:tc>
          <w:tcPr>
            <w:tcW w:w="8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2,262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2,617</w:t>
            </w:r>
          </w:p>
        </w:tc>
      </w:tr>
      <w:tr>
        <w:trPr>
          <w:trHeight w:val="203"/>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expense</w:t>
            </w:r>
          </w:p>
        </w:tc>
        <w:tc>
          <w:tcPr>
            <w:tcW w:w="8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3,620</w:t>
            </w:r>
          </w:p>
        </w:tc>
      </w:tr>
      <w:tr>
        <w:trPr>
          <w:trHeight w:val="197"/>
        </w:trPr>
        <w:tc>
          <w:tcPr>
            <w:tcW w:w="6880" w:type="dxa"/>
            <w:vAlign w:val="bottom"/>
          </w:tcPr>
          <w:p>
            <w:pPr>
              <w:ind w:left="20"/>
              <w:spacing w:after="0"/>
              <w:rPr>
                <w:sz w:val="20"/>
                <w:szCs w:val="20"/>
                <w:color w:val="auto"/>
              </w:rPr>
            </w:pPr>
            <w:r>
              <w:rPr>
                <w:rFonts w:ascii="Arial" w:cs="Arial" w:eastAsia="Arial" w:hAnsi="Arial"/>
                <w:sz w:val="14"/>
                <w:szCs w:val="14"/>
                <w:color w:val="auto"/>
              </w:rPr>
              <w:t>Total lease expense</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15,195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15,258</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15,037</w:t>
            </w:r>
          </w:p>
        </w:tc>
      </w:tr>
      <w:tr>
        <w:trPr>
          <w:trHeight w:val="21"/>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operating leases as of and for the years ended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96"/>
        </w:trPr>
        <w:tc>
          <w:tcPr>
            <w:tcW w:w="7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net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133,493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67,937</w:t>
            </w:r>
          </w:p>
        </w:tc>
      </w:tr>
      <w:tr>
        <w:trPr>
          <w:trHeight w:val="270"/>
        </w:trPr>
        <w:tc>
          <w:tcPr>
            <w:tcW w:w="7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liabilities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9,108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7,172</w:t>
            </w:r>
          </w:p>
        </w:tc>
      </w:tr>
      <w:tr>
        <w:trPr>
          <w:trHeight w:val="201"/>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lease liabilities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71,000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60,893</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lease liabilities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80,108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68,065</w:t>
            </w:r>
          </w:p>
        </w:tc>
      </w:tr>
      <w:tr>
        <w:trPr>
          <w:trHeight w:val="270"/>
        </w:trPr>
        <w:tc>
          <w:tcPr>
            <w:tcW w:w="7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46.4 years</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 years</w:t>
            </w:r>
          </w:p>
        </w:tc>
      </w:tr>
      <w:tr>
        <w:trPr>
          <w:trHeight w:val="200"/>
        </w:trPr>
        <w:tc>
          <w:tcPr>
            <w:tcW w:w="7820" w:type="dxa"/>
            <w:vAlign w:val="bottom"/>
          </w:tcPr>
          <w:p>
            <w:pPr>
              <w:ind w:left="20"/>
              <w:spacing w:after="0"/>
              <w:rPr>
                <w:sz w:val="20"/>
                <w:szCs w:val="20"/>
                <w:color w:val="auto"/>
              </w:rPr>
            </w:pPr>
            <w:r>
              <w:rPr>
                <w:rFonts w:ascii="Arial" w:cs="Arial" w:eastAsia="Arial" w:hAnsi="Arial"/>
                <w:sz w:val="14"/>
                <w:szCs w:val="14"/>
                <w:color w:val="auto"/>
              </w:rPr>
              <w:t>Weighted average incremental borrowing rate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5.9 %</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cash flow information for the years ended December 31, 2025,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67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r>
        <w:trPr>
          <w:trHeight w:val="197"/>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7,437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7,187</w:t>
            </w:r>
          </w:p>
        </w:tc>
      </w:tr>
      <w:tr>
        <w:trPr>
          <w:trHeight w:val="200"/>
        </w:trPr>
        <w:tc>
          <w:tcPr>
            <w:tcW w:w="6760" w:type="dxa"/>
            <w:vAlign w:val="bottom"/>
          </w:tcPr>
          <w:p>
            <w:pPr>
              <w:ind w:left="20"/>
              <w:spacing w:after="0"/>
              <w:rPr>
                <w:sz w:val="20"/>
                <w:szCs w:val="20"/>
                <w:color w:val="auto"/>
              </w:rPr>
            </w:pPr>
            <w:r>
              <w:rPr>
                <w:rFonts w:ascii="Arial" w:cs="Arial" w:eastAsia="Arial" w:hAnsi="Arial"/>
                <w:sz w:val="14"/>
                <w:szCs w:val="14"/>
                <w:color w:val="auto"/>
              </w:rPr>
              <w:t>Noncash - ROU assets recorded for new and modified leases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68,467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2,828</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Sale Leaseback Transaction</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the second quarter of 2024, Jefferson Terminal transferred land to the Port of Beaumont Navigation District of Jefferson County, Texas in association with the Tax Exempt Series 2024A Bonds. Jefferson Terminal entered into a ground lease with the Port of Beaumont Navigation District of Jefferson County, Texas on approximately 50 acres of land.</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Jefferson Terminal was provided access to 10 acres to begin construction of a new dock and supporting facilities. The lease of the 10 acres is an operating lease. This transaction was recorded as a sale in accordance with ASC 842. Jefferson Terminal recorded a gain on the sale leaseback through Gain on sale of assets, net on the Consolidated Statements of Operations of $3.1 million as of December 31, 2024.</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Jefferson Terminal has not been provided access to the other 40 acres for construction, so the lease has not commenced. Once the Port of Beaumont Navigation District of Jefferson County, Texas provides access to the property for construction, the 40 acres will be reassessed as a sale leaseback. This transaction was recorded as a failed sale in accordance with ASC 842 as of December 31, 2024. Jefferson Terminal recorded a finance liability of $12.0 million through Other liabilities on the Consolidated Balance Sheets as of December 31, 2024 for the failed sale.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future minimum lease payments under non-cancellable operating leases as of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10,836</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2027</w:t>
            </w:r>
          </w:p>
        </w:tc>
        <w:tc>
          <w:tcPr>
            <w:tcW w:w="6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9,415</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7,457</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2029</w:t>
            </w:r>
          </w:p>
        </w:tc>
        <w:tc>
          <w:tcPr>
            <w:tcW w:w="6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5,804</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2030</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5,375</w:t>
            </w:r>
          </w:p>
        </w:tc>
      </w:tr>
      <w:tr>
        <w:trPr>
          <w:trHeight w:val="198"/>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251,855</w:t>
            </w:r>
          </w:p>
        </w:tc>
      </w:tr>
      <w:tr>
        <w:trPr>
          <w:trHeight w:val="200"/>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lease payments</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290,742</w:t>
            </w:r>
          </w:p>
        </w:tc>
      </w:tr>
      <w:tr>
        <w:trPr>
          <w:trHeight w:val="198"/>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210,634</w:t>
            </w:r>
          </w:p>
        </w:tc>
      </w:tr>
      <w:tr>
        <w:trPr>
          <w:trHeight w:val="225"/>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liabilities</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80,108</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13. EQUITY-BASED COMPENSATION</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1, 2022, we established a Nonqualified Stock Option and Incentive Award Plan (“Incentive Plan”) which provides for the ability to grant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7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 xml:space="preserve">As of December 31, 2025, the Incentive Plan provides for the issuance of up to 30.0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we report equity-based compensation within Operating expenses and General and administrative in the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Subsidiary Stock-Based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expense related to our subsidiary stock-based compensation arrangements recognized in the Consolidated Statements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2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rPr>
              <w:t>Expense Recognized During the Year Ended</w:t>
            </w: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jc w:val="center"/>
              <w:ind w:right="148"/>
              <w:spacing w:after="0"/>
              <w:rPr>
                <w:sz w:val="20"/>
                <w:szCs w:val="20"/>
                <w:color w:val="auto"/>
              </w:rPr>
            </w:pPr>
            <w:r>
              <w:rPr>
                <w:rFonts w:ascii="Arial" w:cs="Arial" w:eastAsia="Arial" w:hAnsi="Arial"/>
                <w:sz w:val="14"/>
                <w:szCs w:val="14"/>
                <w:b w:val="1"/>
                <w:bCs w:val="1"/>
                <w:color w:val="auto"/>
              </w:rPr>
              <w:t>Remaining Expense To Be</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23"/>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vMerge w:val="restart"/>
          </w:tcPr>
          <w:p>
            <w:pPr>
              <w:jc w:val="center"/>
              <w:ind w:right="148"/>
              <w:spacing w:after="0" w:line="145" w:lineRule="exact"/>
              <w:rPr>
                <w:sz w:val="20"/>
                <w:szCs w:val="20"/>
                <w:color w:val="auto"/>
              </w:rPr>
            </w:pPr>
            <w:r>
              <w:rPr>
                <w:rFonts w:ascii="Arial" w:cs="Arial" w:eastAsia="Arial" w:hAnsi="Arial"/>
                <w:sz w:val="14"/>
                <w:szCs w:val="14"/>
                <w:b w:val="1"/>
                <w:bCs w:val="1"/>
                <w:color w:val="auto"/>
              </w:rPr>
              <w:t>Recognized, If All Vesting</w:t>
            </w:r>
          </w:p>
        </w:tc>
        <w:tc>
          <w:tcPr>
            <w:tcW w:w="100" w:type="dxa"/>
            <w:vAlign w:val="bottom"/>
          </w:tcPr>
          <w:p>
            <w:pPr>
              <w:spacing w:after="0" w:line="20" w:lineRule="exact"/>
              <w:rPr>
                <w:sz w:val="1"/>
                <w:szCs w:val="1"/>
                <w:color w:val="auto"/>
              </w:rPr>
            </w:pPr>
          </w:p>
        </w:tc>
        <w:tc>
          <w:tcPr>
            <w:tcW w:w="176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102"/>
        </w:trPr>
        <w:tc>
          <w:tcPr>
            <w:tcW w:w="3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Conditions Are Met</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7,029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1"/>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2,673</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22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2,200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9,702</w:t>
            </w:r>
          </w:p>
        </w:tc>
        <w:tc>
          <w:tcPr>
            <w:tcW w:w="1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Restricted Stock Units to Subsidiary Employees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the year ended December 31, 2023, we issued restricted stock units (“RSUs”) of our common stock that had a grant date fair value of $16.9 million, based on the closing price of FIP’s stock on the grant date, and vest over three years. These awards were made to employees of certain of our subsidiaries, are subject to continued employment, and the compensation expense is recognized ratably over the vesting periods. This grant fully canceled and replaced the vested and unvested restricted shares of our subsidiary issued in the first quarter of 2021. During the year ended December 31, 2024, we issued additional RSUs of our common stock that had a grant date fair value of $1.9 million. During the year ended December 31, 2025, we issued additional RSUs of our common stock that had a grant date fair value of $0.4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expense related to our RSUs to subsidiary employees recognized in the 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2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rPr>
              <w:t>Expense Recognized During the Year Ended</w:t>
            </w:r>
          </w:p>
        </w:tc>
        <w:tc>
          <w:tcPr>
            <w:tcW w:w="2120" w:type="dxa"/>
            <w:vAlign w:val="bottom"/>
            <w:vMerge w:val="restart"/>
          </w:tcPr>
          <w:p>
            <w:pPr>
              <w:jc w:val="center"/>
              <w:ind w:left="249"/>
              <w:spacing w:after="0"/>
              <w:rPr>
                <w:sz w:val="20"/>
                <w:szCs w:val="20"/>
                <w:color w:val="auto"/>
              </w:rPr>
            </w:pPr>
            <w:r>
              <w:rPr>
                <w:rFonts w:ascii="Arial" w:cs="Arial" w:eastAsia="Arial" w:hAnsi="Arial"/>
                <w:sz w:val="14"/>
                <w:szCs w:val="14"/>
                <w:b w:val="1"/>
                <w:bCs w:val="1"/>
                <w:color w:val="auto"/>
              </w:rPr>
              <w:t>Remaining Expense To Be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vMerge w:val="restart"/>
          </w:tcPr>
          <w:p>
            <w:pPr>
              <w:jc w:val="center"/>
              <w:ind w:left="249"/>
              <w:spacing w:after="0" w:line="113" w:lineRule="exact"/>
              <w:rPr>
                <w:sz w:val="20"/>
                <w:szCs w:val="20"/>
                <w:color w:val="auto"/>
              </w:rPr>
            </w:pPr>
            <w:r>
              <w:rPr>
                <w:rFonts w:ascii="Arial" w:cs="Arial" w:eastAsia="Arial" w:hAnsi="Arial"/>
                <w:sz w:val="13"/>
                <w:szCs w:val="13"/>
                <w:b w:val="1"/>
                <w:bCs w:val="1"/>
                <w:color w:val="auto"/>
              </w:rPr>
              <w:t>Recognized, If All Vesting</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rPr>
              <w:t>Remaining Contractual</w:t>
            </w:r>
          </w:p>
        </w:tc>
        <w:tc>
          <w:tcPr>
            <w:tcW w:w="0" w:type="dxa"/>
            <w:vAlign w:val="bottom"/>
          </w:tcPr>
          <w:p>
            <w:pPr>
              <w:spacing w:after="0"/>
              <w:rPr>
                <w:sz w:val="1"/>
                <w:szCs w:val="1"/>
                <w:color w:val="auto"/>
              </w:rPr>
            </w:pPr>
          </w:p>
        </w:tc>
      </w:tr>
      <w:tr>
        <w:trPr>
          <w:trHeight w:val="38"/>
        </w:trPr>
        <w:tc>
          <w:tcPr>
            <w:tcW w:w="3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b w:val="1"/>
                <w:bCs w:val="1"/>
                <w:color w:val="auto"/>
              </w:rPr>
              <w:t>Conditions Are Met</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2,736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6,341</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6,268</w:t>
            </w:r>
          </w:p>
        </w:tc>
        <w:tc>
          <w:tcPr>
            <w:tcW w:w="80" w:type="dxa"/>
            <w:vAlign w:val="bottom"/>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right"/>
              <w:ind w:right="1949"/>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0.2</w:t>
            </w:r>
          </w:p>
        </w:tc>
        <w:tc>
          <w:tcPr>
            <w:tcW w:w="0" w:type="dxa"/>
            <w:vAlign w:val="bottom"/>
          </w:tcPr>
          <w:p>
            <w:pPr>
              <w:spacing w:after="0"/>
              <w:rPr>
                <w:sz w:val="1"/>
                <w:szCs w:val="1"/>
                <w:color w:val="auto"/>
              </w:rPr>
            </w:pPr>
          </w:p>
        </w:tc>
      </w:tr>
      <w:tr>
        <w:trPr>
          <w:trHeight w:val="197"/>
        </w:trPr>
        <w:tc>
          <w:tcPr>
            <w:tcW w:w="334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6,341</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6,268</w:t>
            </w:r>
          </w:p>
        </w:tc>
        <w:tc>
          <w:tcPr>
            <w:tcW w:w="80" w:type="dxa"/>
            <w:vAlign w:val="bottom"/>
          </w:tcPr>
          <w:p>
            <w:pPr>
              <w:spacing w:after="0"/>
              <w:rPr>
                <w:sz w:val="17"/>
                <w:szCs w:val="17"/>
                <w:color w:val="auto"/>
              </w:rPr>
            </w:pPr>
          </w:p>
        </w:tc>
        <w:tc>
          <w:tcPr>
            <w:tcW w:w="2120" w:type="dxa"/>
            <w:vAlign w:val="bottom"/>
            <w:tcBorders>
              <w:bottom w:val="single" w:sz="8" w:color="auto"/>
            </w:tcBorders>
          </w:tcPr>
          <w:p>
            <w:pPr>
              <w:jc w:val="right"/>
              <w:ind w:right="1949"/>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264</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6"/>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96</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tables present information for our stock options, restricted shares of our subsidiary, common units of our subsidiary and restricted stock units to subsidiary employees: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21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Restricted Shares</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rPr>
              <w:t>Restricted Stock Units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100"/>
              <w:spacing w:after="0" w:line="143" w:lineRule="exact"/>
              <w:rPr>
                <w:sz w:val="20"/>
                <w:szCs w:val="20"/>
                <w:color w:val="auto"/>
              </w:rPr>
            </w:pPr>
            <w:r>
              <w:rPr>
                <w:rFonts w:ascii="Arial" w:cs="Arial" w:eastAsia="Arial" w:hAnsi="Arial"/>
                <w:sz w:val="14"/>
                <w:szCs w:val="14"/>
                <w:b w:val="1"/>
                <w:bCs w:val="1"/>
                <w:color w:val="auto"/>
              </w:rPr>
              <w:t>Weighted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Average</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10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120" w:type="dxa"/>
            <w:vAlign w:val="bottom"/>
            <w:gridSpan w:val="4"/>
          </w:tcPr>
          <w:p>
            <w:pPr>
              <w:jc w:val="center"/>
              <w:ind w:right="100"/>
              <w:spacing w:after="0" w:line="139" w:lineRule="exact"/>
              <w:rPr>
                <w:sz w:val="20"/>
                <w:szCs w:val="20"/>
                <w:color w:val="auto"/>
              </w:rPr>
            </w:pPr>
            <w:r>
              <w:rPr>
                <w:rFonts w:ascii="Arial" w:cs="Arial" w:eastAsia="Arial" w:hAnsi="Arial"/>
                <w:sz w:val="14"/>
                <w:szCs w:val="14"/>
                <w:b w:val="1"/>
                <w:bCs w:val="1"/>
                <w:color w:val="auto"/>
              </w:rPr>
              <w:t>Issuance</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Units</w:t>
            </w:r>
          </w:p>
        </w:tc>
        <w:tc>
          <w:tcPr>
            <w:tcW w:w="100" w:type="dxa"/>
            <w:vAlign w:val="bottom"/>
            <w:gridSpan w:val="2"/>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Issuance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Issuance</w:t>
            </w:r>
          </w:p>
        </w:tc>
        <w:tc>
          <w:tcPr>
            <w:tcW w:w="0" w:type="dxa"/>
            <w:vAlign w:val="bottom"/>
          </w:tcPr>
          <w:p>
            <w:pPr>
              <w:spacing w:after="0"/>
              <w:rPr>
                <w:sz w:val="1"/>
                <w:szCs w:val="1"/>
                <w:color w:val="auto"/>
              </w:rPr>
            </w:pPr>
          </w:p>
        </w:tc>
      </w:tr>
      <w:tr>
        <w:trPr>
          <w:trHeight w:val="197"/>
        </w:trPr>
        <w:tc>
          <w:tcPr>
            <w:tcW w:w="23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Price</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Price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3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Outstanding as of</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4,106,088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720,104</w:t>
            </w:r>
          </w:p>
        </w:tc>
        <w:tc>
          <w:tcPr>
            <w:tcW w:w="660" w:type="dxa"/>
            <w:vAlign w:val="bottom"/>
            <w:gridSpan w:val="2"/>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1,744,363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1,601,905</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2024</w:t>
            </w:r>
          </w:p>
        </w:tc>
        <w:tc>
          <w:tcPr>
            <w:tcW w:w="102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160" w:type="dxa"/>
            <w:vAlign w:val="bottom"/>
            <w:gridSpan w:val="5"/>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140"/>
              <w:spacing w:after="0"/>
              <w:rPr>
                <w:sz w:val="20"/>
                <w:szCs w:val="20"/>
                <w:color w:val="auto"/>
              </w:rPr>
            </w:pPr>
            <w:r>
              <w:rPr>
                <w:rFonts w:ascii="Arial" w:cs="Arial" w:eastAsia="Arial" w:hAnsi="Arial"/>
                <w:sz w:val="14"/>
                <w:szCs w:val="14"/>
                <w:color w:val="auto"/>
              </w:rPr>
              <w:t>Granted</w:t>
            </w:r>
          </w:p>
        </w:tc>
        <w:tc>
          <w:tcPr>
            <w:tcW w:w="1020" w:type="dxa"/>
            <w:vAlign w:val="bottom"/>
          </w:tcPr>
          <w:p>
            <w:pPr>
              <w:jc w:val="right"/>
              <w:spacing w:after="0"/>
              <w:rPr>
                <w:sz w:val="20"/>
                <w:szCs w:val="20"/>
                <w:color w:val="auto"/>
              </w:rPr>
            </w:pPr>
            <w:r>
              <w:rPr>
                <w:rFonts w:ascii="Arial" w:cs="Arial" w:eastAsia="Arial" w:hAnsi="Arial"/>
                <w:sz w:val="14"/>
                <w:szCs w:val="14"/>
                <w:color w:val="auto"/>
              </w:rPr>
              <w:t>2,852,049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11,715,489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2,075,001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7"/>
              </w:rPr>
              <w:t>89,601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exercised or vested</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3,863,172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3,983,452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1,770,961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1,221,325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forfeited and canceled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227,917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19,131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Outstanding as of</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2,867,048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8,452,141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2,048,403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spacing w:after="0"/>
              <w:rPr>
                <w:sz w:val="11"/>
                <w:szCs w:val="11"/>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451,050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2025</w:t>
            </w: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vMerge w:val="continue"/>
            <w:shd w:val="clear" w:color="auto" w:fill="CCEEFF"/>
          </w:tcPr>
          <w:p>
            <w:pPr>
              <w:spacing w:after="0"/>
              <w:rPr>
                <w:sz w:val="15"/>
                <w:szCs w:val="15"/>
                <w:color w:val="auto"/>
              </w:rPr>
            </w:pPr>
          </w:p>
        </w:tc>
        <w:tc>
          <w:tcPr>
            <w:tcW w:w="1020" w:type="dxa"/>
            <w:vAlign w:val="bottom"/>
            <w:tcBorders>
              <w:bottom w:val="single" w:sz="8" w:color="auto"/>
            </w:tcBorders>
            <w:gridSpan w:val="3"/>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tcPr>
          <w:p>
            <w:pPr>
              <w:ind w:left="300"/>
              <w:spacing w:after="0"/>
              <w:rPr>
                <w:sz w:val="20"/>
                <w:szCs w:val="20"/>
                <w:color w:val="auto"/>
              </w:rPr>
            </w:pPr>
            <w:r>
              <w:rPr>
                <w:rFonts w:ascii="Arial" w:cs="Arial" w:eastAsia="Arial" w:hAnsi="Arial"/>
                <w:sz w:val="14"/>
                <w:szCs w:val="14"/>
                <w:b w:val="1"/>
                <w:bCs w:val="1"/>
                <w:color w:val="auto"/>
              </w:rPr>
              <w:t>Stock Options</w:t>
            </w:r>
          </w:p>
        </w:tc>
        <w:tc>
          <w:tcPr>
            <w:tcW w:w="1600" w:type="dxa"/>
            <w:vAlign w:val="bottom"/>
            <w:gridSpan w:val="5"/>
          </w:tcPr>
          <w:p>
            <w:pPr>
              <w:ind w:left="180"/>
              <w:spacing w:after="0"/>
              <w:rPr>
                <w:sz w:val="20"/>
                <w:szCs w:val="20"/>
                <w:color w:val="auto"/>
              </w:rPr>
            </w:pPr>
            <w:r>
              <w:rPr>
                <w:rFonts w:ascii="Arial" w:cs="Arial" w:eastAsia="Arial" w:hAnsi="Arial"/>
                <w:sz w:val="14"/>
                <w:szCs w:val="14"/>
                <w:b w:val="1"/>
                <w:bCs w:val="1"/>
                <w:color w:val="auto"/>
              </w:rPr>
              <w:t>Restricted Shares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24"/>
                <w:szCs w:val="24"/>
                <w:color w:val="auto"/>
              </w:rPr>
            </w:pPr>
          </w:p>
        </w:tc>
        <w:tc>
          <w:tcPr>
            <w:tcW w:w="1580" w:type="dxa"/>
            <w:vAlign w:val="bottom"/>
            <w:gridSpan w:val="5"/>
          </w:tcPr>
          <w:p>
            <w:pPr>
              <w:ind w:left="2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84"/>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2025:</w:t>
            </w: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60" w:type="dxa"/>
            <w:vAlign w:val="bottom"/>
            <w:gridSpan w:val="6"/>
          </w:tcPr>
          <w:p>
            <w:pPr>
              <w:ind w:left="140"/>
              <w:spacing w:after="0"/>
              <w:rPr>
                <w:sz w:val="20"/>
                <w:szCs w:val="20"/>
                <w:color w:val="auto"/>
              </w:rPr>
            </w:pPr>
            <w:r>
              <w:rPr>
                <w:rFonts w:ascii="Arial" w:cs="Arial" w:eastAsia="Arial" w:hAnsi="Arial"/>
                <w:sz w:val="14"/>
                <w:szCs w:val="14"/>
                <w:color w:val="auto"/>
              </w:rPr>
              <w:t>Weighted average exercise / issuance price (per share)</w:t>
            </w:r>
          </w:p>
        </w:tc>
        <w:tc>
          <w:tcPr>
            <w:tcW w:w="1020" w:type="dxa"/>
            <w:vAlign w:val="bottom"/>
            <w:gridSpan w:val="2"/>
          </w:tcPr>
          <w:p>
            <w:pPr>
              <w:jc w:val="right"/>
              <w:ind w:right="748"/>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5.56</w:t>
            </w:r>
          </w:p>
        </w:tc>
        <w:tc>
          <w:tcPr>
            <w:tcW w:w="8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1.31</w:t>
            </w:r>
          </w:p>
        </w:tc>
        <w:tc>
          <w:tcPr>
            <w:tcW w:w="50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Aggregate intrinsic value (in thousands)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15,949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9,047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2,674</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40" w:type="dxa"/>
            <w:vAlign w:val="bottom"/>
            <w:gridSpan w:val="2"/>
          </w:tcPr>
          <w:p>
            <w:pPr>
              <w:ind w:left="140"/>
              <w:spacing w:after="0"/>
              <w:rPr>
                <w:sz w:val="20"/>
                <w:szCs w:val="20"/>
                <w:color w:val="auto"/>
              </w:rPr>
            </w:pPr>
            <w:r>
              <w:rPr>
                <w:rFonts w:ascii="Arial" w:cs="Arial" w:eastAsia="Arial" w:hAnsi="Arial"/>
                <w:sz w:val="14"/>
                <w:szCs w:val="14"/>
                <w:color w:val="auto"/>
              </w:rPr>
              <w:t>Weighted average remaining contractual term</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9.1 years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560"/>
              <w:spacing w:after="0"/>
              <w:rPr>
                <w:sz w:val="20"/>
                <w:szCs w:val="20"/>
                <w:color w:val="auto"/>
              </w:rPr>
            </w:pPr>
            <w:r>
              <w:rPr>
                <w:rFonts w:ascii="Arial" w:cs="Arial" w:eastAsia="Arial" w:hAnsi="Arial"/>
                <w:sz w:val="14"/>
                <w:szCs w:val="14"/>
                <w:b w:val="1"/>
                <w:bCs w:val="1"/>
                <w:color w:val="auto"/>
              </w:rPr>
              <w:t>1.0 year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300"/>
              <w:spacing w:after="0"/>
              <w:rPr>
                <w:sz w:val="20"/>
                <w:szCs w:val="20"/>
                <w:color w:val="auto"/>
              </w:rPr>
            </w:pPr>
            <w:r>
              <w:rPr>
                <w:rFonts w:ascii="Arial" w:cs="Arial" w:eastAsia="Arial" w:hAnsi="Arial"/>
                <w:sz w:val="14"/>
                <w:szCs w:val="14"/>
                <w:b w:val="1"/>
                <w:bCs w:val="1"/>
                <w:color w:val="auto"/>
              </w:rPr>
              <w:t>0.2 years</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year ended December 31, 2025, certain of the Manager’s employees, as well as certain directors and officers, exercised 3,863,172 options at a weighted average exercise price of $2.64 and received a net 1,537,206 shares of our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Stock Options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spin-off and our redeemable preferred stock raise (see Notes 16, 18 and 19 for details), we granted 10.9 million options to purchase our common stock to the Manager. The fair value of these options of $18 million, calculated using a binomial lattice model at issuance date, was recorded as an increase in equity with an offsetting reduction of proceeds received. As of December 31, 2025, there are no remaining options outstanding related to the stock options granted in connection with the spin-off.</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our February 2025 offering of Series B Preferred stock (see Note 18), the Company issued to the Manager, options to purchase 2.9 million shares of common stock at a per share exercise price of $5.61, which had a grant date fair value of $7.4 million.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Restricted Shares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issued restricted shares of our subsidiary to certain employees during the year ended December 31, 2021 that had a grant date fair value of $5.6 million, and generally vest over three years. These awards are subject to continued employment, and the compensation expense is recognized ratably over the vesting periods. The fair value of these awards was based on the fair value of the operating 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 The grant for restricted stock units to subsidiary employees fully canceled and replaced these vested and unvested restricted shares of our subsidiary issued in the first quarter of 2021.</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years ended December 31, 2025 and 2024, we issued restricted shares of our subsidiary that had a grant date fair value of $12.6 million and $0.8 million, respectively and generally vest over three years. These awards are subject to continued employment, and the compensation expense is recognized ratably over the vesting periods. The fair value of these awards was based on the fair value of the operating 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Common Units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issued 2,075,001 and 1,995,000 common units of our subsidiaries to certain employees for the years ended December 31, 2025 and 2024, respectively, that had grant date fair values of $2.7 million and $2.7 million, respectively, and vest over three years. These awards are subject to continued employment and compensation expense is recognized ratably over the vesting periods. The fair value was based on the fair value of the operating subsidiary on the grant date, which is estimated using a discounted cash flow analysis that requires the application of discount factors and terminal multiples to projected cash flows.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Discount factors and terminal multiples were based on market-based inputs and transactions, as available at the measurement date.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the year ended December 31, 2023, we issued 150,000 separate common units of our subsidiary that had a grant date fair value of $0.2 million and vest over three years. These awards are subject to performance targets based on EBITDA as defined in the agreements, and the total expected compensation expense is recognized ratably over the vesting periods if it is probable that the performance conditions will be met. The fair value of these awards was based on the fair value of the operating subsidiary on the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Director Compensation</w:t>
      </w:r>
    </w:p>
    <w:p>
      <w:pPr>
        <w:spacing w:after="0" w:line="1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the years ended December 31, 2025 and 2024, we issued 2,825 and 11,062 shares of common stock to certain directors as compensation,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14. RETIREMENT BENEFIT PLANS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established a defined benefit pension plan as well as a postretirement benefit plan to assume certain retirement benefit obligations related to eligible Transtar employees.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Defined Benefit Pensions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underfunded pension plan is a tax qualified plan, and we will make contributions accordingly. Our pension plan covers certain eligible Transtar employees and is noncontributory. Pension benefits earned are generally based on years of service and compensation during active employment. The accumulated benefit obligation at December 31, 2025 and 2024 is $10.2 million and $7.1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Postretirement Benefits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unfunded postretirement plan provides healthcare and life insurance benefits for eligible retirees of Transtar and their dependents. Depending on retirement date and employee classification, certain healthcare plans contain contribution and cost-sharing features such as deductibles and co-insurance. The remaining healthcare and life insurance plans are non-contributory. In the second quarter of 2024, we amended our postretirement benefit plan to change benefits provided to certain employees.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summarizes the changes in our projected benefit obligation and plan assets as of December 31, 2025 and 2024. Service costs are recorded in Operating expenses, while other net costs are recorded in Other income in the Consolidated Statements of Operations.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1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Postretirement</w:t>
            </w:r>
          </w:p>
        </w:tc>
        <w:tc>
          <w:tcPr>
            <w:tcW w:w="14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2"/>
                <w:szCs w:val="12"/>
                <w:color w:val="auto"/>
              </w:rPr>
            </w:pPr>
          </w:p>
        </w:tc>
        <w:tc>
          <w:tcPr>
            <w:tcW w:w="1300" w:type="dxa"/>
            <w:vAlign w:val="bottom"/>
          </w:tcPr>
          <w:p>
            <w:pPr>
              <w:jc w:val="center"/>
              <w:ind w:right="128"/>
              <w:spacing w:after="0" w:line="147"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08"/>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8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Projected Benefit Obligation</w:t>
            </w: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40" w:type="dxa"/>
            <w:vAlign w:val="bottom"/>
          </w:tcPr>
          <w:p>
            <w:pPr>
              <w:ind w:left="20"/>
              <w:spacing w:after="0"/>
              <w:rPr>
                <w:sz w:val="20"/>
                <w:szCs w:val="20"/>
                <w:color w:val="auto"/>
              </w:rPr>
            </w:pPr>
            <w:r>
              <w:rPr>
                <w:rFonts w:ascii="Arial" w:cs="Arial" w:eastAsia="Arial" w:hAnsi="Arial"/>
                <w:sz w:val="14"/>
                <w:szCs w:val="14"/>
                <w:color w:val="auto"/>
              </w:rPr>
              <w:t>Projected benefit obligation, beginning of period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15,484</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5,656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12,282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32,604</w:t>
            </w:r>
          </w:p>
        </w:tc>
        <w:tc>
          <w:tcPr>
            <w:tcW w:w="0" w:type="dxa"/>
            <w:vAlign w:val="bottom"/>
          </w:tcPr>
          <w:p>
            <w:pPr>
              <w:spacing w:after="0"/>
              <w:rPr>
                <w:sz w:val="1"/>
                <w:szCs w:val="1"/>
                <w:color w:val="auto"/>
              </w:rPr>
            </w:pPr>
          </w:p>
        </w:tc>
      </w:tr>
      <w:tr>
        <w:trPr>
          <w:trHeight w:val="204"/>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 amendment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1,183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(21,788)</w:t>
            </w:r>
          </w:p>
        </w:tc>
        <w:tc>
          <w:tcPr>
            <w:tcW w:w="0" w:type="dxa"/>
            <w:vAlign w:val="bottom"/>
          </w:tcPr>
          <w:p>
            <w:pPr>
              <w:spacing w:after="0"/>
              <w:rPr>
                <w:sz w:val="1"/>
                <w:szCs w:val="1"/>
                <w:color w:val="auto"/>
              </w:rPr>
            </w:pPr>
          </w:p>
        </w:tc>
      </w:tr>
      <w:tr>
        <w:trPr>
          <w:trHeight w:val="201"/>
        </w:trPr>
        <w:tc>
          <w:tcPr>
            <w:tcW w:w="5040" w:type="dxa"/>
            <w:vAlign w:val="bottom"/>
          </w:tcPr>
          <w:p>
            <w:pPr>
              <w:ind w:left="20"/>
              <w:spacing w:after="0"/>
              <w:rPr>
                <w:sz w:val="20"/>
                <w:szCs w:val="20"/>
                <w:color w:val="auto"/>
              </w:rPr>
            </w:pPr>
            <w:r>
              <w:rPr>
                <w:rFonts w:ascii="Arial" w:cs="Arial" w:eastAsia="Arial" w:hAnsi="Arial"/>
                <w:sz w:val="14"/>
                <w:szCs w:val="14"/>
                <w:color w:val="auto"/>
              </w:rPr>
              <w:t>Service costs</w:t>
            </w:r>
          </w:p>
        </w:tc>
        <w:tc>
          <w:tcPr>
            <w:tcW w:w="12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1,477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357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04"/>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costs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01"/>
        </w:trPr>
        <w:tc>
          <w:tcPr>
            <w:tcW w:w="5040" w:type="dxa"/>
            <w:vAlign w:val="bottom"/>
          </w:tcPr>
          <w:p>
            <w:pPr>
              <w:ind w:left="20"/>
              <w:spacing w:after="0"/>
              <w:rPr>
                <w:sz w:val="20"/>
                <w:szCs w:val="20"/>
                <w:color w:val="auto"/>
              </w:rPr>
            </w:pPr>
            <w:r>
              <w:rPr>
                <w:rFonts w:ascii="Arial" w:cs="Arial" w:eastAsia="Arial" w:hAnsi="Arial"/>
                <w:sz w:val="14"/>
                <w:szCs w:val="14"/>
                <w:color w:val="auto"/>
              </w:rPr>
              <w:t>Actuarial losses (gains)</w:t>
            </w:r>
          </w:p>
        </w:tc>
        <w:tc>
          <w:tcPr>
            <w:tcW w:w="12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1,104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(6,570)</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paid</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7"/>
        </w:trPr>
        <w:tc>
          <w:tcPr>
            <w:tcW w:w="5040" w:type="dxa"/>
            <w:vAlign w:val="bottom"/>
          </w:tcPr>
          <w:p>
            <w:pPr>
              <w:ind w:left="20"/>
              <w:spacing w:after="0"/>
              <w:rPr>
                <w:sz w:val="20"/>
                <w:szCs w:val="20"/>
                <w:color w:val="auto"/>
              </w:rPr>
            </w:pPr>
            <w:r>
              <w:rPr>
                <w:rFonts w:ascii="Arial" w:cs="Arial" w:eastAsia="Arial" w:hAnsi="Arial"/>
                <w:sz w:val="14"/>
                <w:szCs w:val="14"/>
                <w:color w:val="auto"/>
              </w:rPr>
              <w:t>Projected benefit obligation,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18,557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7,534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15,484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Plan Assets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5040" w:type="dxa"/>
            <w:vAlign w:val="bottom"/>
          </w:tcPr>
          <w:p>
            <w:pPr>
              <w:ind w:left="20"/>
              <w:spacing w:after="0"/>
              <w:rPr>
                <w:sz w:val="20"/>
                <w:szCs w:val="20"/>
                <w:color w:val="auto"/>
              </w:rPr>
            </w:pPr>
            <w:r>
              <w:rPr>
                <w:rFonts w:ascii="Arial" w:cs="Arial" w:eastAsia="Arial" w:hAnsi="Arial"/>
                <w:sz w:val="14"/>
                <w:szCs w:val="14"/>
                <w:color w:val="auto"/>
              </w:rPr>
              <w:t>Actual return on plan assets</w:t>
            </w:r>
          </w:p>
        </w:tc>
        <w:tc>
          <w:tcPr>
            <w:tcW w:w="12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514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Employer contributions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2,756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benefits paid</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8,085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Funded status at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(10,472)</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(7,534)</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7"/>
        </w:trPr>
        <w:tc>
          <w:tcPr>
            <w:tcW w:w="8180" w:type="dxa"/>
            <w:vAlign w:val="bottom"/>
            <w:gridSpan w:val="7"/>
          </w:tcPr>
          <w:p>
            <w:pPr>
              <w:spacing w:after="0"/>
              <w:rPr>
                <w:sz w:val="20"/>
                <w:szCs w:val="20"/>
                <w:color w:val="auto"/>
              </w:rPr>
            </w:pPr>
            <w:r>
              <w:rPr>
                <w:rFonts w:ascii="Arial" w:cs="Arial" w:eastAsia="Arial" w:hAnsi="Arial"/>
                <w:sz w:val="16"/>
                <w:szCs w:val="16"/>
                <w:color w:val="auto"/>
              </w:rPr>
              <w:t>As of December 31, 2025 and 2024, the following amounts were recognized in the Consolidated Balance Sheets: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1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Postretirement</w:t>
            </w:r>
          </w:p>
        </w:tc>
        <w:tc>
          <w:tcPr>
            <w:tcW w:w="140" w:type="dxa"/>
            <w:vAlign w:val="bottom"/>
          </w:tcPr>
          <w:p>
            <w:pPr>
              <w:spacing w:after="0"/>
              <w:rPr>
                <w:sz w:val="12"/>
                <w:szCs w:val="12"/>
                <w:color w:val="auto"/>
              </w:rPr>
            </w:pPr>
          </w:p>
        </w:tc>
        <w:tc>
          <w:tcPr>
            <w:tcW w:w="1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28"/>
              <w:spacing w:after="0" w:line="147"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85"/>
        </w:trPr>
        <w:tc>
          <w:tcPr>
            <w:tcW w:w="5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Benefits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Non-current liabilities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10,472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7,260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5,513</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amounts recognized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10,472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7,534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retirement plan costs (benefits) for the years ended December 31, 2025, 2024 and 2023 were $2.1 million, $2.1 million and $1.9 million for pension benefits and $(1.4) million, $— million and $3.4 million for postretirement benefits,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net periodic pension cost and other amounts recognized in Other comprehensive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Comprehensive (Loss) Income for the years ended December 31, 2025, 2024 and 2023:</w:t>
      </w:r>
    </w:p>
    <w:p>
      <w:pPr>
        <w:sectPr>
          <w:pgSz w:w="11900" w:h="16838" w:orient="portrait"/>
          <w:cols w:equalWidth="0" w:num="1">
            <w:col w:w="11240"/>
          </w:cols>
          <w:pgMar w:left="320" w:top="125"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304"/>
        </w:trPr>
        <w:tc>
          <w:tcPr>
            <w:tcW w:w="3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2023</w:t>
            </w:r>
          </w:p>
        </w:tc>
      </w:tr>
      <w:tr>
        <w:trPr>
          <w:trHeight w:val="147"/>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Pension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2"/>
                <w:szCs w:val="12"/>
                <w:color w:val="auto"/>
              </w:rPr>
            </w:pPr>
          </w:p>
        </w:tc>
        <w:tc>
          <w:tcPr>
            <w:tcW w:w="88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2"/>
                <w:szCs w:val="12"/>
                <w:color w:val="auto"/>
              </w:rPr>
            </w:pPr>
          </w:p>
        </w:tc>
        <w:tc>
          <w:tcPr>
            <w:tcW w:w="88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Postretirement</w:t>
            </w:r>
          </w:p>
        </w:tc>
      </w:tr>
      <w:tr>
        <w:trPr>
          <w:trHeight w:val="185"/>
        </w:trPr>
        <w:tc>
          <w:tcPr>
            <w:tcW w:w="36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Benefits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Benefits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Benefits</w:t>
            </w:r>
          </w:p>
        </w:tc>
      </w:tr>
      <w:tr>
        <w:trPr>
          <w:trHeight w:val="196"/>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Prior service cost (credit)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3640" w:type="dxa"/>
            <w:vAlign w:val="bottom"/>
          </w:tcPr>
          <w:p>
            <w:pPr>
              <w:ind w:left="20"/>
              <w:spacing w:after="0"/>
              <w:rPr>
                <w:sz w:val="20"/>
                <w:szCs w:val="20"/>
                <w:color w:val="auto"/>
              </w:rPr>
            </w:pPr>
            <w:r>
              <w:rPr>
                <w:rFonts w:ascii="Arial" w:cs="Arial" w:eastAsia="Arial" w:hAnsi="Arial"/>
                <w:sz w:val="14"/>
                <w:szCs w:val="14"/>
                <w:color w:val="auto"/>
              </w:rPr>
              <w:t>Amortization of prior service cost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1,739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04"/>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Actuarial loss (gain)</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r>
      <w:tr>
        <w:trPr>
          <w:trHeight w:val="201"/>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Amortization of actuarial gain</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recognized in other comprehensive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Weighted-average assumptions used to determine the estimated benefit obligation and period costs as of and for the year ended December 31, 2025, 2024 and 2023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06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0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06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1120" w:type="dxa"/>
            <w:vAlign w:val="bottom"/>
          </w:tcPr>
          <w:p>
            <w:pPr>
              <w:jc w:val="right"/>
              <w:ind w:right="208"/>
              <w:spacing w:after="0" w:line="147" w:lineRule="exact"/>
              <w:rPr>
                <w:sz w:val="20"/>
                <w:szCs w:val="20"/>
                <w:color w:val="auto"/>
              </w:rPr>
            </w:pPr>
            <w:r>
              <w:rPr>
                <w:rFonts w:ascii="Arial" w:cs="Arial" w:eastAsia="Arial" w:hAnsi="Arial"/>
                <w:sz w:val="14"/>
                <w:szCs w:val="14"/>
                <w:b w:val="1"/>
                <w:bCs w:val="1"/>
                <w:color w:val="auto"/>
              </w:rPr>
              <w:t>Pension</w:t>
            </w:r>
          </w:p>
        </w:tc>
        <w:tc>
          <w:tcPr>
            <w:tcW w:w="80" w:type="dxa"/>
            <w:vAlign w:val="bottom"/>
          </w:tcPr>
          <w:p>
            <w:pPr>
              <w:spacing w:after="0"/>
              <w:rPr>
                <w:sz w:val="12"/>
                <w:szCs w:val="12"/>
                <w:color w:val="auto"/>
              </w:rPr>
            </w:pPr>
          </w:p>
        </w:tc>
        <w:tc>
          <w:tcPr>
            <w:tcW w:w="150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rPr>
              <w:t>Postretirement</w:t>
            </w:r>
          </w:p>
        </w:tc>
        <w:tc>
          <w:tcPr>
            <w:tcW w:w="1120" w:type="dxa"/>
            <w:vAlign w:val="bottom"/>
          </w:tcPr>
          <w:p>
            <w:pPr>
              <w:jc w:val="right"/>
              <w:ind w:right="208"/>
              <w:spacing w:after="0" w:line="147" w:lineRule="exact"/>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2"/>
                <w:szCs w:val="12"/>
                <w:color w:val="auto"/>
              </w:rPr>
            </w:pPr>
          </w:p>
        </w:tc>
        <w:tc>
          <w:tcPr>
            <w:tcW w:w="150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Postretirement</w:t>
            </w:r>
          </w:p>
        </w:tc>
        <w:tc>
          <w:tcPr>
            <w:tcW w:w="1120" w:type="dxa"/>
            <w:vAlign w:val="bottom"/>
          </w:tcPr>
          <w:p>
            <w:pPr>
              <w:jc w:val="right"/>
              <w:ind w:right="208"/>
              <w:spacing w:after="0" w:line="147" w:lineRule="exact"/>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2"/>
                <w:szCs w:val="12"/>
                <w:color w:val="auto"/>
              </w:rPr>
            </w:pPr>
          </w:p>
        </w:tc>
        <w:tc>
          <w:tcPr>
            <w:tcW w:w="1400" w:type="dxa"/>
            <w:vAlign w:val="bottom"/>
          </w:tcPr>
          <w:p>
            <w:pPr>
              <w:jc w:val="right"/>
              <w:ind w:right="128"/>
              <w:spacing w:after="0" w:line="147"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b w:val="1"/>
                <w:bCs w:val="1"/>
                <w:color w:val="auto"/>
              </w:rPr>
              <w:t>Benefits</w:t>
            </w:r>
          </w:p>
        </w:tc>
        <w:tc>
          <w:tcPr>
            <w:tcW w:w="8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Benefits</w:t>
            </w: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6"/>
                <w:szCs w:val="16"/>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Benefits</w:t>
            </w:r>
          </w:p>
        </w:tc>
        <w:tc>
          <w:tcPr>
            <w:tcW w:w="1120" w:type="dxa"/>
            <w:vAlign w:val="bottom"/>
          </w:tcPr>
          <w:p>
            <w:pPr>
              <w:jc w:val="right"/>
              <w:ind w:right="208"/>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6"/>
                <w:szCs w:val="16"/>
                <w:color w:val="auto"/>
              </w:rPr>
            </w:pPr>
          </w:p>
        </w:tc>
        <w:tc>
          <w:tcPr>
            <w:tcW w:w="1400" w:type="dxa"/>
            <w:vAlign w:val="bottom"/>
          </w:tcPr>
          <w:p>
            <w:pPr>
              <w:jc w:val="right"/>
              <w:ind w:right="348"/>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73"/>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Weighted-average assumptions used to</w:t>
            </w: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determine pension benefit obligation:</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0" w:type="dxa"/>
            <w:vAlign w:val="bottom"/>
          </w:tcPr>
          <w:p>
            <w:pPr>
              <w:ind w:left="140"/>
              <w:spacing w:after="0"/>
              <w:rPr>
                <w:sz w:val="20"/>
                <w:szCs w:val="20"/>
                <w:color w:val="auto"/>
              </w:rPr>
            </w:pPr>
            <w:r>
              <w:rPr>
                <w:rFonts w:ascii="Arial" w:cs="Arial" w:eastAsia="Arial" w:hAnsi="Arial"/>
                <w:sz w:val="14"/>
                <w:szCs w:val="14"/>
                <w:color w:val="auto"/>
              </w:rPr>
              <w:t>Discount rate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5.52 %</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5.39 %</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5.65 %</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5.63 %</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5.06 %</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5.06 %</w:t>
            </w:r>
          </w:p>
        </w:tc>
        <w:tc>
          <w:tcPr>
            <w:tcW w:w="0" w:type="dxa"/>
            <w:vAlign w:val="bottom"/>
          </w:tcPr>
          <w:p>
            <w:pPr>
              <w:spacing w:after="0"/>
              <w:rPr>
                <w:sz w:val="1"/>
                <w:szCs w:val="1"/>
                <w:color w:val="auto"/>
              </w:rPr>
            </w:pPr>
          </w:p>
        </w:tc>
      </w:tr>
      <w:tr>
        <w:trPr>
          <w:trHeight w:val="204"/>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Rate of compensation increase</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3.50 %</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N/A</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5"/>
        </w:trPr>
        <w:tc>
          <w:tcPr>
            <w:tcW w:w="3200" w:type="dxa"/>
            <w:vAlign w:val="bottom"/>
          </w:tcPr>
          <w:p>
            <w:pPr>
              <w:ind w:left="140"/>
              <w:spacing w:after="0"/>
              <w:rPr>
                <w:sz w:val="20"/>
                <w:szCs w:val="20"/>
                <w:color w:val="auto"/>
              </w:rPr>
            </w:pPr>
            <w:r>
              <w:rPr>
                <w:rFonts w:ascii="Arial" w:cs="Arial" w:eastAsia="Arial" w:hAnsi="Arial"/>
                <w:sz w:val="14"/>
                <w:szCs w:val="14"/>
                <w:color w:val="auto"/>
              </w:rPr>
              <w:t>Initial healthcare cost trend rate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 %</w:t>
            </w:r>
          </w:p>
        </w:tc>
        <w:tc>
          <w:tcPr>
            <w:tcW w:w="1120" w:type="dxa"/>
            <w:vAlign w:val="bottom"/>
          </w:tcPr>
          <w:p>
            <w:pPr>
              <w:jc w:val="right"/>
              <w:spacing w:after="0"/>
              <w:rPr>
                <w:sz w:val="20"/>
                <w:szCs w:val="20"/>
                <w:color w:val="auto"/>
              </w:rPr>
            </w:pPr>
            <w:r>
              <w:rPr>
                <w:rFonts w:ascii="Arial" w:cs="Arial" w:eastAsia="Arial" w:hAnsi="Arial"/>
                <w:sz w:val="14"/>
                <w:szCs w:val="14"/>
                <w:color w:val="auto"/>
              </w:rPr>
              <w:t>N/A</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3.61 %</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N/A</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7.50 %</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Ultimate healthcare cost trend rate</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N/A</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4.04 %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4.04 %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4.04 %</w:t>
            </w:r>
          </w:p>
        </w:tc>
        <w:tc>
          <w:tcPr>
            <w:tcW w:w="0" w:type="dxa"/>
            <w:vAlign w:val="bottom"/>
          </w:tcPr>
          <w:p>
            <w:pPr>
              <w:spacing w:after="0"/>
              <w:rPr>
                <w:sz w:val="1"/>
                <w:szCs w:val="1"/>
                <w:color w:val="auto"/>
              </w:rPr>
            </w:pPr>
          </w:p>
        </w:tc>
      </w:tr>
      <w:tr>
        <w:trPr>
          <w:trHeight w:val="193"/>
        </w:trPr>
        <w:tc>
          <w:tcPr>
            <w:tcW w:w="3200" w:type="dxa"/>
            <w:vAlign w:val="bottom"/>
          </w:tcPr>
          <w:p>
            <w:pPr>
              <w:ind w:left="140"/>
              <w:spacing w:after="0"/>
              <w:rPr>
                <w:sz w:val="20"/>
                <w:szCs w:val="20"/>
                <w:color w:val="auto"/>
              </w:rPr>
            </w:pPr>
            <w:r>
              <w:rPr>
                <w:rFonts w:ascii="Arial" w:cs="Arial" w:eastAsia="Arial" w:hAnsi="Arial"/>
                <w:sz w:val="14"/>
                <w:szCs w:val="14"/>
                <w:color w:val="auto"/>
              </w:rPr>
              <w:t>Year ultimate healthcare cost trend rate is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00" w:type="dxa"/>
            <w:vAlign w:val="bottom"/>
          </w:tcPr>
          <w:p>
            <w:pPr>
              <w:ind w:left="140"/>
              <w:spacing w:after="0"/>
              <w:rPr>
                <w:sz w:val="20"/>
                <w:szCs w:val="20"/>
                <w:color w:val="auto"/>
              </w:rPr>
            </w:pPr>
            <w:r>
              <w:rPr>
                <w:rFonts w:ascii="Arial" w:cs="Arial" w:eastAsia="Arial" w:hAnsi="Arial"/>
                <w:sz w:val="14"/>
                <w:szCs w:val="14"/>
                <w:color w:val="auto"/>
              </w:rPr>
              <w:t>reached</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15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2075</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N/A</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2075</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N/A</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2075</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Weighted-average assumptions used to</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determine net periodic pension and</w:t>
            </w: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postretirement costs: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140"/>
              <w:spacing w:after="0"/>
              <w:rPr>
                <w:sz w:val="20"/>
                <w:szCs w:val="20"/>
                <w:color w:val="auto"/>
              </w:rPr>
            </w:pPr>
            <w:r>
              <w:rPr>
                <w:rFonts w:ascii="Arial" w:cs="Arial" w:eastAsia="Arial" w:hAnsi="Arial"/>
                <w:sz w:val="14"/>
                <w:szCs w:val="14"/>
                <w:color w:val="auto"/>
              </w:rPr>
              <w:t>Discount rate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5.65 %</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5.63 %</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5.06 %</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5.50 %</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5.31 %</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5.29 %</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Expected long-term return on plan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5.00 %</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N/A</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2"/>
        </w:trPr>
        <w:tc>
          <w:tcPr>
            <w:tcW w:w="3200" w:type="dxa"/>
            <w:vAlign w:val="bottom"/>
          </w:tcPr>
          <w:p>
            <w:pPr>
              <w:ind w:left="140"/>
              <w:spacing w:after="0"/>
              <w:rPr>
                <w:sz w:val="20"/>
                <w:szCs w:val="20"/>
                <w:color w:val="auto"/>
              </w:rPr>
            </w:pPr>
            <w:r>
              <w:rPr>
                <w:rFonts w:ascii="Arial" w:cs="Arial" w:eastAsia="Arial" w:hAnsi="Arial"/>
                <w:sz w:val="14"/>
                <w:szCs w:val="14"/>
                <w:color w:val="auto"/>
              </w:rPr>
              <w:t>Rate of compensation increases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3.50 %</w:t>
            </w:r>
          </w:p>
        </w:tc>
        <w:tc>
          <w:tcPr>
            <w:tcW w:w="8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N/A</w:t>
            </w:r>
          </w:p>
        </w:tc>
        <w:tc>
          <w:tcPr>
            <w:tcW w:w="1120" w:type="dxa"/>
            <w:vAlign w:val="bottom"/>
          </w:tcPr>
          <w:p>
            <w:pPr>
              <w:jc w:val="right"/>
              <w:spacing w:after="0"/>
              <w:rPr>
                <w:sz w:val="20"/>
                <w:szCs w:val="20"/>
                <w:color w:val="auto"/>
              </w:rPr>
            </w:pPr>
            <w:r>
              <w:rPr>
                <w:rFonts w:ascii="Arial" w:cs="Arial" w:eastAsia="Arial" w:hAnsi="Arial"/>
                <w:sz w:val="14"/>
                <w:szCs w:val="14"/>
                <w:color w:val="auto"/>
              </w:rPr>
              <w:t>3.50 %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1120" w:type="dxa"/>
            <w:vAlign w:val="bottom"/>
          </w:tcPr>
          <w:p>
            <w:pPr>
              <w:jc w:val="right"/>
              <w:spacing w:after="0"/>
              <w:rPr>
                <w:sz w:val="20"/>
                <w:szCs w:val="20"/>
                <w:color w:val="auto"/>
              </w:rPr>
            </w:pPr>
            <w:r>
              <w:rPr>
                <w:rFonts w:ascii="Arial" w:cs="Arial" w:eastAsia="Arial" w:hAnsi="Arial"/>
                <w:sz w:val="14"/>
                <w:szCs w:val="14"/>
                <w:color w:val="auto"/>
              </w:rPr>
              <w:t>3.50 %</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4"/>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future working lifetime</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9.58 years</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12.34 years</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 years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11.27 years</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 years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 years</w:t>
            </w:r>
          </w:p>
        </w:tc>
        <w:tc>
          <w:tcPr>
            <w:tcW w:w="0" w:type="dxa"/>
            <w:vAlign w:val="bottom"/>
          </w:tcPr>
          <w:p>
            <w:pPr>
              <w:spacing w:after="0"/>
              <w:rPr>
                <w:sz w:val="1"/>
                <w:szCs w:val="1"/>
                <w:color w:val="auto"/>
              </w:rPr>
            </w:pPr>
          </w:p>
        </w:tc>
      </w:tr>
      <w:tr>
        <w:trPr>
          <w:trHeight w:val="201"/>
        </w:trPr>
        <w:tc>
          <w:tcPr>
            <w:tcW w:w="3200" w:type="dxa"/>
            <w:vAlign w:val="bottom"/>
          </w:tcPr>
          <w:p>
            <w:pPr>
              <w:ind w:left="140"/>
              <w:spacing w:after="0"/>
              <w:rPr>
                <w:sz w:val="20"/>
                <w:szCs w:val="20"/>
                <w:color w:val="auto"/>
              </w:rPr>
            </w:pPr>
            <w:r>
              <w:rPr>
                <w:rFonts w:ascii="Arial" w:cs="Arial" w:eastAsia="Arial" w:hAnsi="Arial"/>
                <w:sz w:val="14"/>
                <w:szCs w:val="14"/>
                <w:color w:val="auto"/>
              </w:rPr>
              <w:t>Initial healthcare cost trend rate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3.61 %</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N/A</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7.50 %</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N/A</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5.80 %</w:t>
            </w:r>
          </w:p>
        </w:tc>
        <w:tc>
          <w:tcPr>
            <w:tcW w:w="0" w:type="dxa"/>
            <w:vAlign w:val="bottom"/>
          </w:tcPr>
          <w:p>
            <w:pPr>
              <w:spacing w:after="0"/>
              <w:rPr>
                <w:sz w:val="1"/>
                <w:szCs w:val="1"/>
                <w:color w:val="auto"/>
              </w:rPr>
            </w:pPr>
          </w:p>
        </w:tc>
      </w:tr>
      <w:tr>
        <w:trPr>
          <w:trHeight w:val="204"/>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Ultimate healthcare cost trend rate</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N/A</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4.04 %</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4.04 %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3.94 %</w:t>
            </w: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line="153" w:lineRule="exact"/>
              <w:rPr>
                <w:sz w:val="20"/>
                <w:szCs w:val="20"/>
                <w:color w:val="auto"/>
              </w:rPr>
            </w:pPr>
            <w:r>
              <w:rPr>
                <w:rFonts w:ascii="Arial" w:cs="Arial" w:eastAsia="Arial" w:hAnsi="Arial"/>
                <w:sz w:val="14"/>
                <w:szCs w:val="14"/>
                <w:color w:val="auto"/>
              </w:rPr>
              <w:t>Year ultimate healthcare cost trend rate is</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N/A</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2075</w:t>
            </w:r>
          </w:p>
        </w:tc>
        <w:tc>
          <w:tcPr>
            <w:tcW w:w="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2075</w:t>
            </w: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2075</w:t>
            </w:r>
          </w:p>
        </w:tc>
        <w:tc>
          <w:tcPr>
            <w:tcW w:w="0" w:type="dxa"/>
            <w:vAlign w:val="bottom"/>
          </w:tcPr>
          <w:p>
            <w:pPr>
              <w:spacing w:after="0"/>
              <w:rPr>
                <w:sz w:val="1"/>
                <w:szCs w:val="1"/>
                <w:color w:val="auto"/>
              </w:rPr>
            </w:pPr>
          </w:p>
        </w:tc>
      </w:tr>
      <w:tr>
        <w:trPr>
          <w:trHeight w:val="190"/>
        </w:trPr>
        <w:tc>
          <w:tcPr>
            <w:tcW w:w="3200" w:type="dxa"/>
            <w:vAlign w:val="bottom"/>
          </w:tcPr>
          <w:p>
            <w:pPr>
              <w:ind w:left="140"/>
              <w:spacing w:after="0"/>
              <w:rPr>
                <w:sz w:val="20"/>
                <w:szCs w:val="20"/>
                <w:color w:val="auto"/>
              </w:rPr>
            </w:pPr>
            <w:r>
              <w:rPr>
                <w:rFonts w:ascii="Arial" w:cs="Arial" w:eastAsia="Arial" w:hAnsi="Arial"/>
                <w:sz w:val="14"/>
                <w:szCs w:val="14"/>
                <w:color w:val="auto"/>
              </w:rPr>
              <w:t>reached</w:t>
            </w:r>
          </w:p>
        </w:tc>
        <w:tc>
          <w:tcPr>
            <w:tcW w:w="11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expected return on asset assumption is based on a forward-looking assessment of expected returns by asset class. The expected return produced by the investments within the fund is net of expected administrative expenses to be paid from the plan. The expected return assumption is also consistent with the long-term return goal of the investment policy.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benefit payments, which reflect expected future service and compensation increases, as appropriate, are expected to be made from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Transtar defined benefit plans: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4"/>
                <w:szCs w:val="14"/>
                <w:color w:val="auto"/>
              </w:rPr>
            </w:pPr>
          </w:p>
        </w:tc>
        <w:tc>
          <w:tcPr>
            <w:tcW w:w="1360" w:type="dxa"/>
            <w:vAlign w:val="bottom"/>
          </w:tcPr>
          <w:p>
            <w:pPr>
              <w:jc w:val="right"/>
              <w:ind w:right="188"/>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85"/>
        </w:trPr>
        <w:tc>
          <w:tcPr>
            <w:tcW w:w="8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408"/>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96"/>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color w:val="auto"/>
              </w:rPr>
              <w:t>2027</w:t>
            </w:r>
          </w:p>
        </w:tc>
        <w:tc>
          <w:tcPr>
            <w:tcW w:w="14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1,026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color w:val="auto"/>
              </w:rPr>
              <w:t>2029</w:t>
            </w:r>
          </w:p>
        </w:tc>
        <w:tc>
          <w:tcPr>
            <w:tcW w:w="14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1,594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2030</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Arial" w:cs="Arial" w:eastAsia="Arial" w:hAnsi="Arial"/>
                <w:sz w:val="14"/>
                <w:szCs w:val="14"/>
                <w:color w:val="auto"/>
              </w:rPr>
              <w:t>Years 2031-2035</w:t>
            </w:r>
          </w:p>
        </w:tc>
        <w:tc>
          <w:tcPr>
            <w:tcW w:w="1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9,269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3,702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pension plan assets are invested in accordance with the Investment Policy Statement as approved by the Investment Committee. The pension plan assets are held in a master trust that is invested in pooled separate accounts. The assets are valued at fair value and are classified as a Level 2 investment. The separate accounts are valued at fair value based on the underlying equity, fixed income, or short-term instruments held by each account. The separate accounts classified as equity or fixed income funds track the composition and performance of widely used indices and invest in instruments representative of those indices. The fair value of the holdings of each separate account are used to determine the net asset value. We expect to make $3.1 million of contributions to the pension plan during 2026.</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targets and actual allocations for the pension plan assets as of the year ended December 31, 2025 and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Actual</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6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Target Asset Allocation</w:t>
            </w:r>
          </w:p>
        </w:tc>
      </w:tr>
      <w:tr>
        <w:trPr>
          <w:trHeight w:val="196"/>
        </w:trPr>
        <w:tc>
          <w:tcPr>
            <w:tcW w:w="46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8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2024</w:t>
            </w:r>
          </w:p>
        </w:tc>
      </w:tr>
      <w:tr>
        <w:trPr>
          <w:trHeight w:val="196"/>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U.S. large cap equity</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30 %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30 %</w:t>
            </w:r>
          </w:p>
        </w:tc>
        <w:tc>
          <w:tcPr>
            <w:tcW w:w="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203"/>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small/mid cap equity</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25 %</w:t>
            </w: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r>
      <w:tr>
        <w:trPr>
          <w:trHeight w:val="201"/>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U.S. investment grade fixed income and cash equivalents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44 %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44 %</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45 %</w:t>
            </w:r>
          </w:p>
        </w:tc>
        <w:tc>
          <w:tcPr>
            <w:tcW w:w="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45 %</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15. 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provision (benefit) included in the Consolidated Statements of Operations are as follows:</w:t>
      </w:r>
    </w:p>
    <w:p>
      <w:pPr>
        <w:sectPr>
          <w:pgSz w:w="11900" w:h="16838" w:orient="portrait"/>
          <w:cols w:equalWidth="0" w:num="1">
            <w:col w:w="11240"/>
          </w:cols>
          <w:pgMar w:left="320" w:top="17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r>
      <w:tr>
        <w:trPr>
          <w:trHeight w:val="18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2"/>
        </w:trPr>
        <w:tc>
          <w:tcPr>
            <w:tcW w:w="6560" w:type="dxa"/>
            <w:vAlign w:val="bottom"/>
          </w:tcPr>
          <w:p>
            <w:pPr>
              <w:ind w:left="140"/>
              <w:spacing w:after="0"/>
              <w:rPr>
                <w:sz w:val="20"/>
                <w:szCs w:val="20"/>
                <w:color w:val="auto"/>
              </w:rPr>
            </w:pPr>
            <w:r>
              <w:rPr>
                <w:rFonts w:ascii="Arial" w:cs="Arial" w:eastAsia="Arial" w:hAnsi="Arial"/>
                <w:sz w:val="14"/>
                <w:szCs w:val="14"/>
                <w:color w:val="auto"/>
              </w:rPr>
              <w:t>Federal</w:t>
            </w:r>
          </w:p>
        </w:tc>
        <w:tc>
          <w:tcPr>
            <w:tcW w:w="960" w:type="dxa"/>
            <w:vAlign w:val="bottom"/>
          </w:tcPr>
          <w:p>
            <w:pPr>
              <w:jc w:val="right"/>
              <w:ind w:right="788"/>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2,446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r>
      <w:tr>
        <w:trPr>
          <w:trHeight w:val="195"/>
        </w:trPr>
        <w:tc>
          <w:tcPr>
            <w:tcW w:w="6560" w:type="dxa"/>
            <w:vAlign w:val="bottom"/>
          </w:tcPr>
          <w:p>
            <w:pPr>
              <w:ind w:left="20"/>
              <w:spacing w:after="0"/>
              <w:rPr>
                <w:sz w:val="20"/>
                <w:szCs w:val="20"/>
                <w:color w:val="auto"/>
              </w:rPr>
            </w:pPr>
            <w:r>
              <w:rPr>
                <w:rFonts w:ascii="Arial" w:cs="Arial" w:eastAsia="Arial" w:hAnsi="Arial"/>
                <w:sz w:val="14"/>
                <w:szCs w:val="14"/>
                <w:color w:val="auto"/>
              </w:rPr>
              <w:t>Total current provision</w:t>
            </w:r>
          </w:p>
        </w:tc>
        <w:tc>
          <w:tcPr>
            <w:tcW w:w="96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2,446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454</w:t>
            </w:r>
          </w:p>
        </w:tc>
      </w:tr>
      <w:tr>
        <w:trPr>
          <w:trHeight w:val="258"/>
        </w:trPr>
        <w:tc>
          <w:tcPr>
            <w:tcW w:w="65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02"/>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Deferred:</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(4,468)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w:t>
            </w:r>
          </w:p>
        </w:tc>
      </w:tr>
      <w:tr>
        <w:trPr>
          <w:trHeight w:val="202"/>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State and local</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w:t>
            </w:r>
          </w:p>
        </w:tc>
      </w:tr>
      <w:tr>
        <w:trPr>
          <w:trHeight w:val="197"/>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provision</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(5,764)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r>
      <w:tr>
        <w:trPr>
          <w:trHeight w:val="257"/>
        </w:trPr>
        <w:tc>
          <w:tcPr>
            <w:tcW w:w="6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2"/>
        </w:trPr>
        <w:tc>
          <w:tcPr>
            <w:tcW w:w="6560" w:type="dxa"/>
            <w:vAlign w:val="bottom"/>
          </w:tcPr>
          <w:p>
            <w:pPr>
              <w:ind w:left="140"/>
              <w:spacing w:after="0"/>
              <w:rPr>
                <w:sz w:val="20"/>
                <w:szCs w:val="20"/>
                <w:color w:val="auto"/>
              </w:rPr>
            </w:pPr>
            <w:r>
              <w:rPr>
                <w:rFonts w:ascii="Arial" w:cs="Arial" w:eastAsia="Arial" w:hAnsi="Arial"/>
                <w:sz w:val="14"/>
                <w:szCs w:val="14"/>
                <w:color w:val="auto"/>
              </w:rPr>
              <w:t>Federal</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(4,468)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1,089</w:t>
            </w:r>
          </w:p>
        </w:tc>
      </w:tr>
      <w:tr>
        <w:trPr>
          <w:trHeight w:val="202"/>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w:t>
            </w:r>
          </w:p>
        </w:tc>
      </w:tr>
      <w:tr>
        <w:trPr>
          <w:trHeight w:val="197"/>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Total provision</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2,470</w:t>
            </w:r>
          </w:p>
        </w:tc>
      </w:tr>
      <w:tr>
        <w:trPr>
          <w:trHeight w:val="20"/>
        </w:trPr>
        <w:tc>
          <w:tcPr>
            <w:tcW w:w="6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Taxable income or loss generated by us and our corporate subsidiaries is subject to U.S. federal and state corporate income tax in locations where they conduct business.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 valuation allowance has been established against our net U.S. federal and state deferred tax assets, including net operating loss carryforwards. As a result, our income tax provision is primarily related to separate company state taxes, deferred taxes for tax deductible goodwill, and deferred taxes for certain long-lived assets.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effective tax rate differs from the U.S. federal tax rate of 21% primarily due to an increase in the valuation allowances against a significant portion of the deferred tax assets of our corporate subsidiaries, the effects of the derecognition of a deferred tax liability for an equity method investment upon obtaining control of such entity, and the reclassification of certain tax benefits from Accumulated other comprehensive loss. The tax benefit for the year ended December 31, 2025 included a reclassification of the taxes from Accumulated other comprehensive loss in the Consolidated Balance Sheet to (Benefit from) provision for income taxes in the Consolidated Statements of Operations resulting from the acquisition of Long Ridge Energy &amp; Power LLC in February 2025.</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has elected to prospectively adopt the guidance in ASU No. 2023-09, Income Taxes (Topic 740): Improvements to Income Taxes Disclosures, or ASU 2023-09. The following table is a reconciliation of the U.S. federal statutory rate of 21% to the Company’s effective rate for the year ended December 31, 2025, in accordance with ASU 2023-09:</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Year Ended December 31, 2025</w:t>
            </w:r>
          </w:p>
        </w:tc>
      </w:tr>
      <w:tr>
        <w:trPr>
          <w:trHeight w:val="196"/>
        </w:trPr>
        <w:tc>
          <w:tcPr>
            <w:tcW w:w="8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jc w:val="right"/>
              <w:ind w:right="468"/>
              <w:spacing w:after="0"/>
              <w:rPr>
                <w:sz w:val="20"/>
                <w:szCs w:val="20"/>
                <w:color w:val="auto"/>
              </w:rPr>
            </w:pPr>
            <w:r>
              <w:rPr>
                <w:rFonts w:ascii="Arial" w:cs="Arial" w:eastAsia="Arial" w:hAnsi="Arial"/>
                <w:sz w:val="14"/>
                <w:szCs w:val="14"/>
                <w:b w:val="1"/>
                <w:bCs w:val="1"/>
                <w:color w:val="auto"/>
              </w:rPr>
              <w:t>Percent</w:t>
            </w:r>
          </w:p>
        </w:tc>
      </w:tr>
      <w:tr>
        <w:trPr>
          <w:trHeight w:val="197"/>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federal tax at statutory rate</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(32,405)</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21.00 %</w:t>
            </w: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color w:val="auto"/>
              </w:rPr>
              <w:t>Nontaxable or nondeductible items: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7"/>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Nontaxable earnings from equity investment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(1,937)</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1.26 %</w:t>
            </w:r>
          </w:p>
        </w:tc>
      </w:tr>
      <w:tr>
        <w:trPr>
          <w:trHeight w:val="201"/>
        </w:trPr>
        <w:tc>
          <w:tcPr>
            <w:tcW w:w="8060" w:type="dxa"/>
            <w:vAlign w:val="bottom"/>
          </w:tcPr>
          <w:p>
            <w:pPr>
              <w:ind w:left="140"/>
              <w:spacing w:after="0"/>
              <w:rPr>
                <w:sz w:val="20"/>
                <w:szCs w:val="20"/>
                <w:color w:val="auto"/>
              </w:rPr>
            </w:pPr>
            <w:r>
              <w:rPr>
                <w:rFonts w:ascii="Arial" w:cs="Arial" w:eastAsia="Arial" w:hAnsi="Arial"/>
                <w:sz w:val="14"/>
                <w:szCs w:val="14"/>
                <w:color w:val="auto"/>
              </w:rPr>
              <w:t>Nondeductible transaction costs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2,195</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(1.42)%</w:t>
            </w:r>
          </w:p>
        </w:tc>
      </w:tr>
      <w:tr>
        <w:trPr>
          <w:trHeight w:val="204"/>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(1,075)</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0.70 %</w:t>
            </w:r>
          </w:p>
        </w:tc>
      </w:tr>
      <w:tr>
        <w:trPr>
          <w:trHeight w:val="201"/>
        </w:trPr>
        <w:tc>
          <w:tcPr>
            <w:tcW w:w="8060" w:type="dxa"/>
            <w:vAlign w:val="bottom"/>
          </w:tcPr>
          <w:p>
            <w:pPr>
              <w:ind w:left="20"/>
              <w:spacing w:after="0"/>
              <w:rPr>
                <w:sz w:val="20"/>
                <w:szCs w:val="20"/>
                <w:color w:val="auto"/>
              </w:rPr>
            </w:pPr>
            <w:r>
              <w:rPr>
                <w:rFonts w:ascii="Arial" w:cs="Arial" w:eastAsia="Arial" w:hAnsi="Arial"/>
                <w:sz w:val="14"/>
                <w:szCs w:val="14"/>
                <w:color w:val="auto"/>
              </w:rPr>
              <w:t>Valuation allowance</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55,297</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(35.83)%</w:t>
            </w:r>
          </w:p>
        </w:tc>
      </w:tr>
      <w:tr>
        <w:trPr>
          <w:trHeight w:val="20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1"/>
        </w:trPr>
        <w:tc>
          <w:tcPr>
            <w:tcW w:w="8060" w:type="dxa"/>
            <w:vAlign w:val="bottom"/>
          </w:tcPr>
          <w:p>
            <w:pPr>
              <w:ind w:left="140"/>
              <w:spacing w:after="0"/>
              <w:rPr>
                <w:sz w:val="20"/>
                <w:szCs w:val="20"/>
                <w:color w:val="auto"/>
              </w:rPr>
            </w:pPr>
            <w:r>
              <w:rPr>
                <w:rFonts w:ascii="Arial" w:cs="Arial" w:eastAsia="Arial" w:hAnsi="Arial"/>
                <w:sz w:val="14"/>
                <w:szCs w:val="14"/>
                <w:color w:val="auto"/>
              </w:rPr>
              <w:t>Tax effects of acquiring control of Long Ridge Energy &amp; Power LLC</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(21,054)</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13.65 %</w:t>
            </w:r>
          </w:p>
        </w:tc>
      </w:tr>
      <w:tr>
        <w:trPr>
          <w:trHeight w:val="204"/>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remeasurement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(5,497)</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3.56 %</w:t>
            </w:r>
          </w:p>
        </w:tc>
      </w:tr>
      <w:tr>
        <w:trPr>
          <w:trHeight w:val="202"/>
        </w:trPr>
        <w:tc>
          <w:tcPr>
            <w:tcW w:w="8060" w:type="dxa"/>
            <w:vAlign w:val="bottom"/>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522</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(0.35)%</w:t>
            </w:r>
          </w:p>
        </w:tc>
      </w:tr>
      <w:tr>
        <w:trPr>
          <w:trHeight w:val="203"/>
        </w:trPr>
        <w:tc>
          <w:tcPr>
            <w:tcW w:w="80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State and local income taxes, net of federal income tax </w:t>
            </w:r>
            <w:r>
              <w:rPr>
                <w:rFonts w:ascii="Arial" w:cs="Arial" w:eastAsia="Arial" w:hAnsi="Arial"/>
                <w:sz w:val="18"/>
                <w:szCs w:val="18"/>
                <w:color w:val="auto"/>
                <w:vertAlign w:val="superscript"/>
              </w:rPr>
              <w:t>(1)</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636</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(0.41)%</w:t>
            </w:r>
          </w:p>
        </w:tc>
      </w:tr>
      <w:tr>
        <w:trPr>
          <w:trHeight w:val="196"/>
        </w:trPr>
        <w:tc>
          <w:tcPr>
            <w:tcW w:w="80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(3,318)</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2.16 %</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51" w:lineRule="exact"/>
        <w:rPr>
          <w:sz w:val="20"/>
          <w:szCs w:val="20"/>
          <w:color w:val="auto"/>
        </w:rPr>
      </w:pPr>
    </w:p>
    <w:p>
      <w:pPr>
        <w:ind w:left="140" w:hanging="132"/>
        <w:spacing w:after="0"/>
        <w:tabs>
          <w:tab w:leader="none" w:pos="140" w:val="left"/>
        </w:tabs>
        <w:numPr>
          <w:ilvl w:val="0"/>
          <w:numId w:val="50"/>
        </w:numPr>
        <w:rPr>
          <w:rFonts w:ascii="Arial" w:cs="Arial" w:eastAsia="Arial" w:hAnsi="Arial"/>
          <w:sz w:val="16"/>
          <w:szCs w:val="16"/>
          <w:color w:val="auto"/>
          <w:vertAlign w:val="superscript"/>
        </w:rPr>
      </w:pPr>
      <w:r>
        <w:rPr>
          <w:rFonts w:ascii="Arial" w:cs="Arial" w:eastAsia="Arial" w:hAnsi="Arial"/>
          <w:sz w:val="12"/>
          <w:szCs w:val="12"/>
          <w:color w:val="auto"/>
        </w:rPr>
        <w:t>State taxes in Pennsylvania, Texas and Indiana made up the majority (greater than 50%) of the tax effect in this category.</w:t>
      </w:r>
    </w:p>
    <w:p>
      <w:pPr>
        <w:spacing w:after="0" w:line="9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is a reconciliation of the U.S. federal statutory rate of 21% to the Company’s effective rate for the years ended December 31, 2024 and 2023:</w:t>
      </w:r>
    </w:p>
    <w:p>
      <w:pPr>
        <w:spacing w:after="0" w:line="106"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r>
      <w:tr>
        <w:trPr>
          <w:trHeight w:val="197"/>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federal tax at statutory rate</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21.00 %</w:t>
            </w: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21.00 %</w:t>
            </w:r>
          </w:p>
        </w:tc>
      </w:tr>
      <w:tr>
        <w:trPr>
          <w:trHeight w:val="198"/>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State and local taxes</w:t>
            </w:r>
          </w:p>
        </w:tc>
        <w:tc>
          <w:tcPr>
            <w:tcW w:w="620" w:type="dxa"/>
            <w:vAlign w:val="bottom"/>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1.79 %</w:t>
            </w:r>
          </w:p>
        </w:tc>
      </w:tr>
      <w:tr>
        <w:trPr>
          <w:trHeight w:val="207"/>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198"/>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Deferred adjustment</w:t>
            </w:r>
          </w:p>
        </w:tc>
        <w:tc>
          <w:tcPr>
            <w:tcW w:w="620" w:type="dxa"/>
            <w:vAlign w:val="bottom"/>
          </w:tcPr>
          <w:p>
            <w:pPr>
              <w:jc w:val="right"/>
              <w:spacing w:after="0"/>
              <w:rPr>
                <w:sz w:val="20"/>
                <w:szCs w:val="20"/>
                <w:color w:val="auto"/>
              </w:rPr>
            </w:pPr>
            <w:r>
              <w:rPr>
                <w:rFonts w:ascii="Arial" w:cs="Arial" w:eastAsia="Arial" w:hAnsi="Arial"/>
                <w:sz w:val="14"/>
                <w:szCs w:val="14"/>
                <w:color w:val="auto"/>
              </w:rPr>
              <w:t>(5.17)%</w:t>
            </w:r>
          </w:p>
        </w:tc>
        <w:tc>
          <w:tcPr>
            <w:tcW w:w="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(3.71)%</w:t>
            </w:r>
          </w:p>
        </w:tc>
      </w:tr>
      <w:tr>
        <w:trPr>
          <w:trHeight w:val="207"/>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0.33 %</w:t>
            </w: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r>
      <w:tr>
        <w:trPr>
          <w:trHeight w:val="19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valuation allowance</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w:t>
            </w: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(17.88)%</w:t>
            </w:r>
          </w:p>
        </w:tc>
      </w:tr>
      <w:tr>
        <w:trPr>
          <w:trHeight w:val="220"/>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our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2"/>
        </w:trPr>
        <w:tc>
          <w:tcPr>
            <w:tcW w:w="8140" w:type="dxa"/>
            <w:vAlign w:val="bottom"/>
          </w:tcPr>
          <w:p>
            <w:pPr>
              <w:ind w:left="140"/>
              <w:spacing w:after="0"/>
              <w:rPr>
                <w:sz w:val="20"/>
                <w:szCs w:val="20"/>
                <w:color w:val="auto"/>
              </w:rPr>
            </w:pPr>
            <w:r>
              <w:rPr>
                <w:rFonts w:ascii="Arial" w:cs="Arial" w:eastAsia="Arial" w:hAnsi="Arial"/>
                <w:sz w:val="14"/>
                <w:szCs w:val="14"/>
                <w:color w:val="auto"/>
              </w:rPr>
              <w:t>Net operating loss carryforwards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268,055</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189,612</w:t>
            </w:r>
          </w:p>
        </w:tc>
      </w:tr>
      <w:tr>
        <w:trPr>
          <w:trHeight w:val="203"/>
        </w:trPr>
        <w:tc>
          <w:tcPr>
            <w:tcW w:w="8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21,933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13,331</w:t>
            </w:r>
          </w:p>
        </w:tc>
      </w:tr>
      <w:tr>
        <w:trPr>
          <w:trHeight w:val="202"/>
        </w:trPr>
        <w:tc>
          <w:tcPr>
            <w:tcW w:w="814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128,152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84,348</w:t>
            </w:r>
          </w:p>
        </w:tc>
      </w:tr>
      <w:tr>
        <w:trPr>
          <w:trHeight w:val="203"/>
        </w:trPr>
        <w:tc>
          <w:tcPr>
            <w:tcW w:w="8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13,544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84,774</w:t>
            </w:r>
          </w:p>
        </w:tc>
      </w:tr>
      <w:tr>
        <w:trPr>
          <w:trHeight w:val="202"/>
        </w:trPr>
        <w:tc>
          <w:tcPr>
            <w:tcW w:w="8140" w:type="dxa"/>
            <w:vAlign w:val="bottom"/>
          </w:tcPr>
          <w:p>
            <w:pPr>
              <w:ind w:left="140"/>
              <w:spacing w:after="0"/>
              <w:rPr>
                <w:sz w:val="20"/>
                <w:szCs w:val="20"/>
                <w:color w:val="auto"/>
              </w:rPr>
            </w:pPr>
            <w:r>
              <w:rPr>
                <w:rFonts w:ascii="Arial" w:cs="Arial" w:eastAsia="Arial" w:hAnsi="Arial"/>
                <w:sz w:val="14"/>
                <w:szCs w:val="14"/>
                <w:color w:val="auto"/>
              </w:rPr>
              <w:t>Derivative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97,043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in partnerships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20,470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14,894</w:t>
            </w:r>
          </w:p>
        </w:tc>
      </w:tr>
      <w:tr>
        <w:trPr>
          <w:trHeight w:val="202"/>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27,517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19,062</w:t>
            </w:r>
          </w:p>
        </w:tc>
      </w:tr>
      <w:tr>
        <w:trPr>
          <w:trHeight w:val="197"/>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assets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576,714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406,021</w:t>
            </w:r>
          </w:p>
        </w:tc>
      </w:tr>
      <w:tr>
        <w:trPr>
          <w:trHeight w:val="201"/>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valuation allowance</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(304,055)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(249,223)</w:t>
            </w:r>
          </w:p>
        </w:tc>
      </w:tr>
      <w:tr>
        <w:trPr>
          <w:trHeight w:val="197"/>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272,659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156,798</w:t>
            </w:r>
          </w:p>
        </w:tc>
      </w:tr>
      <w:tr>
        <w:trPr>
          <w:trHeight w:val="198"/>
        </w:trPr>
        <w:tc>
          <w:tcPr>
            <w:tcW w:w="814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7"/>
        </w:trPr>
        <w:tc>
          <w:tcPr>
            <w:tcW w:w="8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assets and goodwill</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(461,321)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(73,458)</w:t>
            </w:r>
          </w:p>
        </w:tc>
      </w:tr>
      <w:tr>
        <w:trPr>
          <w:trHeight w:val="201"/>
        </w:trPr>
        <w:tc>
          <w:tcPr>
            <w:tcW w:w="8140" w:type="dxa"/>
            <w:vAlign w:val="bottom"/>
          </w:tcPr>
          <w:p>
            <w:pPr>
              <w:ind w:left="140"/>
              <w:spacing w:after="0"/>
              <w:rPr>
                <w:sz w:val="20"/>
                <w:szCs w:val="20"/>
                <w:color w:val="auto"/>
              </w:rPr>
            </w:pPr>
            <w:r>
              <w:rPr>
                <w:rFonts w:ascii="Arial" w:cs="Arial" w:eastAsia="Arial" w:hAnsi="Arial"/>
                <w:sz w:val="14"/>
                <w:szCs w:val="14"/>
                <w:color w:val="auto"/>
              </w:rPr>
              <w:t>Operating lease right-of-use assets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(85,722)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(72,664)</w:t>
            </w:r>
          </w:p>
        </w:tc>
      </w:tr>
      <w:tr>
        <w:trPr>
          <w:trHeight w:val="203"/>
        </w:trPr>
        <w:tc>
          <w:tcPr>
            <w:tcW w:w="8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(24,969)</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(20,315)</w:t>
            </w:r>
          </w:p>
        </w:tc>
      </w:tr>
      <w:tr>
        <w:trPr>
          <w:trHeight w:val="197"/>
        </w:trPr>
        <w:tc>
          <w:tcPr>
            <w:tcW w:w="8140" w:type="dxa"/>
            <w:vAlign w:val="bottom"/>
          </w:tcPr>
          <w:p>
            <w:pPr>
              <w:ind w:left="20"/>
              <w:spacing w:after="0"/>
              <w:rPr>
                <w:sz w:val="20"/>
                <w:szCs w:val="20"/>
                <w:color w:val="auto"/>
              </w:rPr>
            </w:pPr>
            <w:r>
              <w:rPr>
                <w:rFonts w:ascii="Arial" w:cs="Arial" w:eastAsia="Arial" w:hAnsi="Arial"/>
                <w:sz w:val="14"/>
                <w:szCs w:val="14"/>
                <w:color w:val="auto"/>
              </w:rPr>
              <w:t>Net deferred tax liabilities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(299,353)</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(9,639)</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Deferred tax assets and liabilities are reported net in Other assets or Other liabilities in the Consolidated Balance Sheets.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We have analyzed our deferred tax assets and have determined, based on the weight of available evidence, that it is more likely than not that a significant portion will not be realized. Accordingly, valuation allowances have been recognized as of December 31, 2025, 2024, and 2023 of $304.1 million, $249.2 million, and $215.1 million, respectively, related to certain deductible temporary differences and net operating loss carryforwards.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the valuation allowance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beginning of period</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249,223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215,082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214,003</w:t>
            </w:r>
          </w:p>
        </w:tc>
      </w:tr>
      <w:tr>
        <w:trPr>
          <w:trHeight w:val="201"/>
        </w:trPr>
        <w:tc>
          <w:tcPr>
            <w:tcW w:w="6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Change in current year</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54,832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34,141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1,079</w:t>
            </w:r>
          </w:p>
        </w:tc>
      </w:tr>
      <w:tr>
        <w:trPr>
          <w:trHeight w:val="222"/>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Valuation allowance at end of period</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304,055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249,223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215,082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December 31, 2025, certain of our corporate subsidiaries had U.S. federal and state net operating loss carryforwards of approximately $1.2 billion and $290.8 million, respectively, that are available to offset future taxable income. In regards to federal net operating loss carryforwards, $168.5 million of these carryforwards will begin to expire in the year 2032 and $1.0 billion of these carryforwards have no expiration date. As for state and local net operating loss carryforwards, $279.0 million of these carryforwards will begin to expire in the year 2028, while $12.0 million have no expiration date. The utilization of the net operating loss carryforwards to reduce future income taxes will depend on the relevant corporate subsidiary's ability to generate sufficient taxable income prior to the expiration of the carryforward period, if any. In addition, the maximum annual use of net operating loss carryforwards may be limited after certain changes in stock ownership.</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and for the year ended December 31, 2025, we had not established a liability for uncertain tax positions as no such positions existed. In general, our tax returns and the tax returns of our corporate subsidiaries are subject to U.S. federal, state and local income tax examinations by tax authorities. Generally, we are not subject to examination by taxing authorities for tax years prior to 2021.</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July 4, 2025, the One Big Beautiful Bill Act (“OBBBA”) was enacted in the U.S. The OBBBA includes significant changes to the U.S. federal tax law, such as an elective deduction for domestic research and experimental expenditures, and changes to interest expense limitations under Internal Revenue Code section 163(j). We have incorporated these amendments into the income tax provision which did not have a material impact on the Company’s effective tax rate.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16. MANAGEMENT AGREEMENT AND AFFILIATE TRANSACTIONS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externally managed by the Manager. The Manager is paid annual fees and incentive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On July 31, 2022, in connection with the spin-off, we and the Manager entered into the Management Agreement with an initial term of six years.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Manager is entitled to a management fee, incentive fees (comprised of an Income Incentive Fee and a Capital Gains Incentive Fee, described below) and reimbursement of certain expenses. The management fee is determined by taking the average value of total equity (including preferred stock and excluding non-controlling common interests) of the Company determined on a consolidated basis in accordance with U.S. GAAP at the end of the two most recently completed months multiplied by an annual rate of 1.50%, and is payable monthly in arrears in cash.</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Income Incentive Fee is calculated and distributable quarterly in arrears based on the pre-incentive fee net income for the immediately preceding calendar quarter (the “Income Incentive Fee”). For this purpose, pre-incentive fee net income means, with respect to a calendar quarter, net income attributable to stockholders, before series B preferred stock dividend and loss on extinguishment of preferred stock during such quarter calculated in accordance with U.S. GAAP excluding our pro rata share of (1) realized or unrealized gains and losses, and (2) certain non-cash or one-time items, and (3) any other adjustments as may be approved by the independent directors. Pre-incentive allocation net income does not include any Income Incentive Fee or Capital Gains Incentive Fee (described below) paid to the Manager during the relevant quarter.</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Manager is entitled to an Income Incentive Fee with respect to its pre-incentive fee net income in each calendar quarter as follows: (1) no Income Incentive Fee in any calendar quarter in which pre-incentive fee net income, expressed as a rate of return on the average value of the Company’s net equity capital (excluding non-controlling interests) at the end of the two most recently completed calendar quarters, does not exceed 2% for such quarter (8% annualized); (2) 100% of pre-incentive fee net income of the Company with respect to that portion of such pre-incentive fee net income, if any, that equals or exceeds 2% but does not exceed 2.2223% for such quarter; and (3) 10% of pre-incentive fee net income of the Company, if any, that exceeds 2.2223% for portions of such quarter. These calculations will be prorated for any periods of less than three months.</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Capital Gains Incentive Fee is calculated and paid in arrears as of the end of each calendar year and is equal to 10% of our pro rata share of cumulative realized gains from the date of the spin-off through the end of the applicable calendar year, net of our pro rata share of cumulative realized or unrealized losses, the cumulative non-cash portion of equity-based compensation expenses and all realized gains upon which prior performance-based Capital Gains Incentive Fee payments were made to the Manager.</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Management fee, Income Incentive Fee, and Capital Gains Incentive Fee that are attributable to the operations of FTAI Infrastructure is recorded in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and incentive allocation to affiliate on the Consolidated Statements of Operations. These amounts are allocated on the following basis:</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Management fee—</w:t>
      </w:r>
      <w:r>
        <w:rPr>
          <w:rFonts w:ascii="Arial" w:cs="Arial" w:eastAsia="Arial" w:hAnsi="Arial"/>
          <w:sz w:val="16"/>
          <w:szCs w:val="16"/>
          <w:color w:val="auto"/>
        </w:rPr>
        <w:t>Management fee is allocated to FTAI Infrastructure by applying the calculation methodology described above to the equity of FTAI</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included in these consolidated financial statements.</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i w:val="1"/>
          <w:iCs w:val="1"/>
          <w:color w:val="auto"/>
        </w:rPr>
        <w:t>Income Incentive Allocation and Capital Gains Incentive Allocation</w:t>
      </w:r>
      <w:r>
        <w:rPr>
          <w:rFonts w:ascii="Arial" w:cs="Arial" w:eastAsia="Arial" w:hAnsi="Arial"/>
          <w:sz w:val="16"/>
          <w:szCs w:val="16"/>
          <w:color w:val="auto"/>
        </w:rPr>
        <w:t>—The Income Incentive Fee and Capital Gains Incentive Fee are allocated to FTAI</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by applying the allocation calculation methodology described above to FTAI Infrastructure’s financial results in each respective period.</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 included in these consolidated financial statements: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6"/>
        </w:trPr>
        <w:tc>
          <w:tcPr>
            <w:tcW w:w="63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14,714</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12,467</w:t>
            </w:r>
          </w:p>
        </w:tc>
      </w:tr>
      <w:tr>
        <w:trPr>
          <w:trHeight w:val="198"/>
        </w:trPr>
        <w:tc>
          <w:tcPr>
            <w:tcW w:w="6360" w:type="dxa"/>
            <w:vAlign w:val="bottom"/>
          </w:tcPr>
          <w:p>
            <w:pPr>
              <w:ind w:left="20"/>
              <w:spacing w:after="0"/>
              <w:rPr>
                <w:sz w:val="20"/>
                <w:szCs w:val="20"/>
                <w:color w:val="auto"/>
              </w:rPr>
            </w:pPr>
            <w:r>
              <w:rPr>
                <w:rFonts w:ascii="Arial" w:cs="Arial" w:eastAsia="Arial" w:hAnsi="Arial"/>
                <w:sz w:val="14"/>
                <w:szCs w:val="14"/>
                <w:color w:val="auto"/>
              </w:rPr>
              <w:t>Income incentive fee</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fee</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6360" w:type="dxa"/>
            <w:vAlign w:val="bottom"/>
          </w:tcPr>
          <w:p>
            <w:pPr>
              <w:ind w:left="20"/>
              <w:spacing w:after="0"/>
              <w:rPr>
                <w:sz w:val="20"/>
                <w:szCs w:val="20"/>
                <w:color w:val="auto"/>
              </w:rPr>
            </w:pPr>
            <w:r>
              <w:rPr>
                <w:rFonts w:ascii="Arial" w:cs="Arial" w:eastAsia="Arial" w:hAnsi="Arial"/>
                <w:sz w:val="14"/>
                <w:szCs w:val="14"/>
                <w:color w:val="auto"/>
              </w:rPr>
              <w:t>Total</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14,714</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11,318</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12,467</w:t>
            </w:r>
          </w:p>
        </w:tc>
      </w:tr>
      <w:tr>
        <w:trPr>
          <w:trHeight w:val="20"/>
        </w:trPr>
        <w:tc>
          <w:tcPr>
            <w:tcW w:w="6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periods post-spin, we pay all of our operating expenses, except those specifically required to be borne by the Manager under the Management Agreement. For periods pre-spin, the Former Parent paid all of its operating expenses, except those specifically required to be borne by the Manager under the management agreement between the Former Parent and the Manager. The expenses required to be paid by the Company include, but are not limited to, issuance and transaction costs incident to the acquisition, disposition and financing of its assets, legal and auditing fees and expenses, the compensation and expenses of the Company’s independent directors, the costs associated with the establishment and maintenance of any credit facilities and other indebtedness (including commitment fees, legal fees, closing costs, etc.), expenses associated with other securities offerings, costs and expenses incurred in contracting with third parties (including affiliates of the Manager), the costs of printing and mailing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proxies and reports to the stockholders, costs incurred by the Manager or its affiliates for travel on our behalf, costs associated with any computer software or hardware that is used by the Company, costs to obtain liability insurance to indemnify the Company’s directors and officers and the compensation and expenses of the transfer agent.</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do not reimburse the Manager for these expenses.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196"/>
        </w:trPr>
        <w:tc>
          <w:tcPr>
            <w:tcW w:w="65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r>
      <w:tr>
        <w:trPr>
          <w:trHeight w:val="184"/>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1"/>
        </w:trPr>
        <w:tc>
          <w:tcPr>
            <w:tcW w:w="652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960" w:type="dxa"/>
            <w:vAlign w:val="bottom"/>
          </w:tcPr>
          <w:p>
            <w:pPr>
              <w:jc w:val="right"/>
              <w:ind w:right="78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6,352</w:t>
            </w:r>
          </w:p>
        </w:tc>
        <w:tc>
          <w:tcPr>
            <w:tcW w:w="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5,597</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5,598</w:t>
            </w:r>
          </w:p>
        </w:tc>
      </w:tr>
      <w:tr>
        <w:trPr>
          <w:trHeight w:val="203"/>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9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5,198</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w:t>
            </w:r>
          </w:p>
        </w:tc>
      </w:tr>
      <w:tr>
        <w:trPr>
          <w:trHeight w:val="197"/>
        </w:trPr>
        <w:tc>
          <w:tcPr>
            <w:tcW w:w="6520" w:type="dxa"/>
            <w:vAlign w:val="bottom"/>
          </w:tcPr>
          <w:p>
            <w:pPr>
              <w:ind w:left="20"/>
              <w:spacing w:after="0"/>
              <w:rPr>
                <w:sz w:val="20"/>
                <w:szCs w:val="20"/>
                <w:color w:val="auto"/>
              </w:rPr>
            </w:pPr>
            <w:r>
              <w:rPr>
                <w:rFonts w:ascii="Arial" w:cs="Arial" w:eastAsia="Arial" w:hAnsi="Arial"/>
                <w:sz w:val="14"/>
                <w:szCs w:val="14"/>
                <w:color w:val="auto"/>
              </w:rPr>
              <w:t>Total</w:t>
            </w:r>
          </w:p>
        </w:tc>
        <w:tc>
          <w:tcPr>
            <w:tcW w:w="960" w:type="dxa"/>
            <w:vAlign w:val="bottom"/>
          </w:tcPr>
          <w:p>
            <w:pPr>
              <w:jc w:val="right"/>
              <w:ind w:right="78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11,550</w:t>
            </w:r>
          </w:p>
        </w:tc>
        <w:tc>
          <w:tcPr>
            <w:tcW w:w="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7,049</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6,820</w:t>
            </w:r>
          </w:p>
        </w:tc>
      </w:tr>
      <w:tr>
        <w:trPr>
          <w:trHeight w:val="20"/>
        </w:trPr>
        <w:tc>
          <w:tcPr>
            <w:tcW w:w="6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Pursuant to the terms of the Management Agreement, the termination fee is equal to the amount of the management fee during the 12 months immediately preceding such termination and an amount equal to the Income Incentive Fee and the Capital Gains Incentive Fee that would be paid to the Manager if the Company’s assets were sold for cash at their then current fair market value (as determined by an appraisal, taking into account, among other things, the expected future value of the underlying investments).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Upon the successful completion of an offering of our common stock or other equity securities (including securities issued as consideration in an acquisition), we grant the Manager options to purchase common stock in an amount equal to 10% of the number of common stock being sold in the offering (or if the issuance relates to equity securities other than our common stock, options to purchase an amount of common stock equal to 10% of the gross capital raised in the equity issuance divided by the fair market value of our common stock as of the date of issuance), with an exercise price equal to the offering price per share paid by the public or other ultimate purchaser or attributed to such securities in connection with an acquisition (or the fair market value of our common stock as of the date of the equity issuance if it relates to equity securities other than our common stock). Any ultimate purchaser of common stock for which such options are granted may be an affiliate of Fortress. In connection with the spin-off, we issued 10.9 million options to purchase common stock to the Manager, with a term of 10 years and strike price of $2.76 as compensation for services rendered in connection with the Redeemable Preferred Stock raise,</w:t>
      </w:r>
    </w:p>
    <w:p>
      <w:pPr>
        <w:spacing w:after="0" w:line="1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discussed in Notes 18 and 19. On August 12, 2024, 8.7 million Manager options were exercised. In February 2025, we issued 2.9 million options to purchase common stock to the Manager, with a term of 10 years and a strike price of $5.61 as compensation for services rendered in connection with the offering of Series B Preferred stock as discussed in Note 18.</w:t>
      </w:r>
    </w:p>
    <w:p>
      <w:pPr>
        <w:spacing w:after="0" w:line="4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196"/>
        </w:trPr>
        <w:tc>
          <w:tcPr>
            <w:tcW w:w="8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r>
      <w:tr>
        <w:trPr>
          <w:trHeight w:val="197"/>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12,172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5,541</w:t>
            </w:r>
          </w:p>
        </w:tc>
      </w:tr>
      <w:tr>
        <w:trPr>
          <w:trHeight w:val="200"/>
        </w:trPr>
        <w:tc>
          <w:tcPr>
            <w:tcW w:w="812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96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9,181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4,047</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and 2024, there were no receivables from the Manager.</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Affiliate Transactions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December 31, 2025 and 2024, certain employees of the Manager and their related parties collectively own an approximately 20% interest in Jefferson Terminal which has been accounted for as a component of non-controlling interest in consolidated subsidiaries in the accompanying consolidated financial statements. The carrying amount of this non-controlling interest as of December 31, 2025 and 2024 was $(162.8) million and $(119.5) million, respectively. In April 2024, we made a pro-rata distribution of $15.0 million to the non-controlling interest holders of our Jefferson Terminal segment.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jc w:val="center"/>
              <w:ind w:left="168"/>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r>
      <w:tr>
        <w:trPr>
          <w:trHeight w:val="197"/>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share of net loss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(43,261)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(36,918)</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July 2020, we purchased a 14% interest in FYX from an affiliate of our Manager, which retained a non-controlling interest in FYX subsequent to the transaction. In May 2022, FTAI purchased an additional 51% interest in FYX from an unrelated third party for a purchase price of $4.6 million, which resulted in our ownership of a majority stake in the entity. In March 2023, we purchased the remaining non-controlling interest of FYX from an affiliate of our Manager for a purchase price of $4.4 million. This resulted in 100% ownership in FYX and the elimination of any non-controlling interest in FYX.</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In October 2022, we entered into a shareholder loan agreement with Long Ridge. Refer to Notes 3 and 6 for additional information.</w:t>
      </w:r>
    </w:p>
    <w:p>
      <w:pPr>
        <w:spacing w:after="0" w:line="113" w:lineRule="exact"/>
        <w:rPr>
          <w:sz w:val="20"/>
          <w:szCs w:val="20"/>
          <w:color w:val="auto"/>
        </w:rPr>
      </w:pPr>
    </w:p>
    <w:p>
      <w:pPr>
        <w:jc w:val="both"/>
        <w:ind w:right="20"/>
        <w:spacing w:after="0" w:line="356" w:lineRule="auto"/>
        <w:rPr>
          <w:sz w:val="20"/>
          <w:szCs w:val="20"/>
          <w:color w:val="auto"/>
        </w:rPr>
      </w:pPr>
      <w:r>
        <w:rPr>
          <w:rFonts w:ascii="Arial" w:cs="Arial" w:eastAsia="Arial" w:hAnsi="Arial"/>
          <w:sz w:val="16"/>
          <w:szCs w:val="16"/>
          <w:color w:val="auto"/>
        </w:rPr>
        <w:t>The Company subleases a portion of office space from an entity controlled by certain employees of the Manager since February 2023. For the years ended December 31, 2025 and 2024, the Company incurred approximately $0.5 million of rent and office related expenses, respectively.</w:t>
      </w:r>
    </w:p>
    <w:p>
      <w:pPr>
        <w:spacing w:after="0" w:line="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May 14, 2024, certain members of Fortress management and affiliates of Mubadala Investment Company, through its wholly owned asset management subsidiary, Mubadala Capital (“Mubadala”), completed their acquisition of 100% of the equity of Fortress. Fortress continues to operate as an independent investment manager under the Fortress brand, with autonomy over investment processes and decision making, personnel and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17. SEGMENT INFORMATION</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the first quarter of 2023, we modified our definition of Adjusted EBITDA to exclude the impact of other non-recurring items, such as severance expense. All segment data and related disclosures for earlier periods presented herein have been recast to reflect this segment reporting structure.</w:t>
      </w:r>
    </w:p>
    <w:p>
      <w:pPr>
        <w:spacing w:after="0" w:line="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infrastructure assets. We have five reportable segments which operate in infrastructure businesses across several market sectors, all in North America. Our reportable segments are (i) Railroad, (ii) Jefferson Terminal, (iii) Repauno, (iv) Power and Gas and (v) Sustainability and Energy Transition. The Railroad segment is comprised of eight freight railroads and one switching company that provide rail service to certain manufacturing and production facilities, which includes the newly acquired The Wheeling Corporation as of the third quarter of 2025 (refer to Note 3 for additional details). The Jefferson Terminal segment consists of a multi-modal crude oil and refined products terminal, Jefferson Terminal South and other related assets. The Repauno segment consists of a 1,630-acre deep-water port located along the Delaware River with an underground storage cavern, a multipurpose dock, a rail-to-ship transloading system and multiple industrial development opportunities. The Power and Gas segment is comprised of Long Ridge, which is a 1,660-acre multi-modal terminal located along the Ohio River with rail, dock, and multiple industrial development opportunities, including a power plant in operation. The Sustainability and Energy Transition segment is comprised of Aleon/Gladieux, Clean Planet, and CarbonFree, and all three investments are development stage businesses focused on sustainability and recycling.</w:t>
      </w:r>
    </w:p>
    <w:p>
      <w:pPr>
        <w:spacing w:after="0" w:line="8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Corporate and Other primarily consists of unallocated corporate general and administrative expenses, management fees, debt and redeemable preferred stock. Additionally, Corporate and Other includes an operating company that provides roadside assistance services for the intermodal and over-the-road trucking industries. As of the second quarter of 2025, we have moved KRS, a railcar cleaning operation, from the Railroad segment to the Corporate and Other segment. As the chief operating decision maker (“CODM”) focuses on Transtar and Wheeling, a pure railroad business, within the Railroad segment results, we believe the change in segment for KRS better aligns with how the CODM reviews overall segment results. Due to the immateriality of the results of KRS, we will apply this change prospectively.</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The CODM evaluates investment performance for each reportable segment primarily based on Adjusted EBITDA. Our company’s CODM is our Chief Executive Officer, who uses Adjusted EBITDA as it serves as a consistent measure for comparing profitability between periods and across segments, independent of each segment’s capital structure, which may vary materially, and because it neutralizes one-time or other non-operational items. Decisions regarding resource allocation are made based on Adjusted EBITDA performance, together with other relevant factors, including but not limited to, market dynamics, growth opportunities and expected future performance.</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is defined as net income (loss) attributable to stockholders, before series B preferred stock dividend and loss on extinguishment of preferred stock,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interest expense, interest and other costs on pension and OPEB liabilities, dividends and accretion of redeemable preferred stock, and other non-recurring items, (b) to include the impact of our pro-rata</w:t>
      </w:r>
    </w:p>
    <w:p>
      <w:pPr>
        <w:spacing w:after="0" w:line="7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share of Adjusted EBITDA from unconsolidated entities, and (c) to exclude the impact of equity in earnings (losses) of unconsolidated entities and the non-controlling share of Adjusted EBITDA.</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that net income (loss) attributable to stockholders, before series B preferred stock dividend and loss on extinguishment of preferred stock, as defined by U.S. GAAP, is the most appropriate earnings measure with which to reconcile Adjusted EBITDA. Adjusted EBITDA should not be considered as an alternative to net income (loss) attributable to stockholders, before series B preferred stock dividend and loss on extinguishment of preferred stock as determined in accordance with U.S. GAAP.</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 as provided to and evaluated by the CODM:</w:t>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00497F"/>
        </w:rPr>
        <w:t>I. For the Year Ended December 31,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Year Ended December 31, 2025</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Repauno</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Power and Gas</w:t>
            </w:r>
          </w:p>
        </w:tc>
        <w:tc>
          <w:tcPr>
            <w:tcW w:w="10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Sustainability and</w:t>
            </w: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Corporate and</w:t>
            </w:r>
          </w:p>
        </w:tc>
        <w:tc>
          <w:tcPr>
            <w:tcW w:w="11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Energy Transition</w:t>
            </w: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172,940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85,658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10,991</w:t>
            </w:r>
          </w:p>
        </w:tc>
        <w:tc>
          <w:tcPr>
            <w:tcW w:w="1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179,331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ind w:left="11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53,600</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502,520</w:t>
            </w:r>
          </w:p>
        </w:tc>
        <w:tc>
          <w:tcPr>
            <w:tcW w:w="0" w:type="dxa"/>
            <w:vAlign w:val="bottom"/>
          </w:tcPr>
          <w:p>
            <w:pPr>
              <w:spacing w:after="0"/>
              <w:rPr>
                <w:sz w:val="1"/>
                <w:szCs w:val="1"/>
                <w:color w:val="auto"/>
              </w:rPr>
            </w:pPr>
          </w:p>
        </w:tc>
      </w:tr>
      <w:tr>
        <w:trPr>
          <w:trHeight w:val="271"/>
        </w:trPr>
        <w:tc>
          <w:tcPr>
            <w:tcW w:w="2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expenses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General and administrative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Acquisition and transaction expenses</w:t>
      </w:r>
    </w:p>
    <w:p>
      <w:pPr>
        <w:spacing w:after="0" w:line="42" w:lineRule="exact"/>
        <w:rPr>
          <w:sz w:val="20"/>
          <w:szCs w:val="20"/>
          <w:color w:val="auto"/>
        </w:rPr>
      </w:pPr>
    </w:p>
    <w:p>
      <w:pPr>
        <w:ind w:left="20" w:right="660"/>
        <w:spacing w:after="0" w:line="252" w:lineRule="auto"/>
        <w:rPr>
          <w:sz w:val="20"/>
          <w:szCs w:val="20"/>
          <w:color w:val="auto"/>
        </w:rPr>
      </w:pPr>
      <w:r>
        <w:rPr>
          <w:rFonts w:ascii="Arial" w:cs="Arial" w:eastAsia="Arial" w:hAnsi="Arial"/>
          <w:sz w:val="14"/>
          <w:szCs w:val="14"/>
          <w:color w:val="auto"/>
        </w:rPr>
        <w:t>Management fees and incentive allocation to affiliate</w:t>
      </w:r>
    </w:p>
    <w:p>
      <w:pPr>
        <w:spacing w:after="0" w:line="1" w:lineRule="exact"/>
        <w:rPr>
          <w:sz w:val="20"/>
          <w:szCs w:val="20"/>
          <w:color w:val="auto"/>
        </w:rPr>
      </w:pPr>
    </w:p>
    <w:p>
      <w:pPr>
        <w:ind w:left="20" w:right="780"/>
        <w:spacing w:after="0" w:line="311" w:lineRule="auto"/>
        <w:rPr>
          <w:sz w:val="20"/>
          <w:szCs w:val="20"/>
          <w:color w:val="auto"/>
        </w:rPr>
      </w:pPr>
      <w:r>
        <w:rPr>
          <w:rFonts w:ascii="Arial" w:cs="Arial" w:eastAsia="Arial" w:hAnsi="Arial"/>
          <w:sz w:val="14"/>
          <w:szCs w:val="14"/>
          <w:color w:val="auto"/>
        </w:rPr>
        <w:t>Depreciation and amortization Asset impairment</w:t>
      </w:r>
    </w:p>
    <w:p>
      <w:pPr>
        <w:ind w:left="20"/>
        <w:spacing w:after="0"/>
        <w:rPr>
          <w:sz w:val="20"/>
          <w:szCs w:val="20"/>
          <w:color w:val="auto"/>
        </w:rPr>
      </w:pPr>
      <w:r>
        <w:rPr>
          <w:rFonts w:ascii="Arial" w:cs="Arial" w:eastAsia="Arial" w:hAnsi="Arial"/>
          <w:sz w:val="14"/>
          <w:szCs w:val="14"/>
          <w:b w:val="1"/>
          <w:bCs w:val="1"/>
          <w:color w:val="auto"/>
        </w:rPr>
        <w:t>Total expenses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58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line="155" w:lineRule="exact"/>
              <w:rPr>
                <w:sz w:val="20"/>
                <w:szCs w:val="20"/>
                <w:color w:val="auto"/>
              </w:rPr>
            </w:pPr>
            <w:r>
              <w:rPr>
                <w:rFonts w:ascii="Arial" w:cs="Arial" w:eastAsia="Arial" w:hAnsi="Arial"/>
                <w:sz w:val="14"/>
                <w:szCs w:val="14"/>
                <w:color w:val="auto"/>
              </w:rPr>
              <w:t>Equity in earnings (losses) of</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4"/>
                <w:szCs w:val="14"/>
                <w:color w:val="auto"/>
              </w:rPr>
              <w:t>unconsolidated entities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(Loss) gain on sale of assets, net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Loss on modification or extinguishment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4"/>
                <w:szCs w:val="14"/>
                <w:color w:val="auto"/>
              </w:rPr>
              <w:t>of debt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4"/>
                <w:szCs w:val="14"/>
                <w:b w:val="1"/>
                <w:bCs w:val="1"/>
                <w:color w:val="auto"/>
              </w:rPr>
              <w:t>Total other income (expense)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4"/>
                <w:szCs w:val="14"/>
                <w:b w:val="1"/>
                <w:bCs w:val="1"/>
                <w:color w:val="auto"/>
              </w:rPr>
              <w:t>Income (loss) before income taxes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line="155" w:lineRule="exact"/>
              <w:rPr>
                <w:sz w:val="20"/>
                <w:szCs w:val="20"/>
                <w:color w:val="auto"/>
              </w:rPr>
            </w:pPr>
            <w:r>
              <w:rPr>
                <w:rFonts w:ascii="Arial" w:cs="Arial" w:eastAsia="Arial" w:hAnsi="Arial"/>
                <w:sz w:val="14"/>
                <w:szCs w:val="14"/>
                <w:color w:val="auto"/>
              </w:rPr>
              <w:t>Provision for (benefit from) income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taxes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line="155" w:lineRule="exact"/>
              <w:rPr>
                <w:sz w:val="20"/>
                <w:szCs w:val="20"/>
                <w:color w:val="auto"/>
              </w:rPr>
            </w:pPr>
            <w:r>
              <w:rPr>
                <w:rFonts w:ascii="Arial" w:cs="Arial" w:eastAsia="Arial" w:hAnsi="Arial"/>
                <w:sz w:val="14"/>
                <w:szCs w:val="14"/>
                <w:color w:val="auto"/>
              </w:rPr>
              <w:t>Less: Net income (loss) attributable to</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non-controlling interests in consolidated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4"/>
                <w:szCs w:val="14"/>
                <w:color w:val="auto"/>
              </w:rPr>
              <w:t>subsidiaries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Less: Preferred dividends and accretion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4"/>
                <w:szCs w:val="14"/>
                <w:color w:val="auto"/>
              </w:rPr>
              <w:t>on redeemable non-controlling interests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Less: Dividends and accretion of</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4"/>
                <w:szCs w:val="14"/>
                <w:color w:val="auto"/>
              </w:rPr>
              <w:t>redeemable preferred stock</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(loss) attributable to</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Arial" w:cs="Arial" w:eastAsia="Arial" w:hAnsi="Arial"/>
                <w:sz w:val="14"/>
                <w:szCs w:val="14"/>
                <w:b w:val="1"/>
                <w:bCs w:val="1"/>
                <w:color w:val="auto"/>
              </w:rPr>
              <w:t>stockholders, before series 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spacing w:after="0" w:line="145" w:lineRule="exact"/>
              <w:rPr>
                <w:sz w:val="20"/>
                <w:szCs w:val="20"/>
                <w:color w:val="auto"/>
              </w:rPr>
            </w:pPr>
            <w:r>
              <w:rPr>
                <w:rFonts w:ascii="Arial" w:cs="Arial" w:eastAsia="Arial" w:hAnsi="Arial"/>
                <w:sz w:val="14"/>
                <w:szCs w:val="14"/>
                <w:b w:val="1"/>
                <w:bCs w:val="1"/>
                <w:color w:val="auto"/>
              </w:rPr>
              <w:t>preferred stock dividend and loss on</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20"/>
                <w:szCs w:val="20"/>
                <w:color w:val="auto"/>
              </w:rPr>
            </w:pPr>
            <w:r>
              <w:rPr>
                <w:rFonts w:ascii="Arial" w:cs="Arial" w:eastAsia="Arial" w:hAnsi="Arial"/>
                <w:sz w:val="14"/>
                <w:szCs w:val="14"/>
                <w:b w:val="1"/>
                <w:bCs w:val="1"/>
                <w:color w:val="auto"/>
              </w:rPr>
              <w:t>extinguishment of preferred stock</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91,587</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68,618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22,733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62,432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54,215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299,587</w:t>
            </w:r>
          </w:p>
        </w:tc>
      </w:tr>
      <w:tr>
        <w:trPr>
          <w:trHeight w:val="203"/>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16,222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16,222</w:t>
            </w:r>
          </w:p>
        </w:tc>
      </w:tr>
      <w:tr>
        <w:trPr>
          <w:trHeight w:val="203"/>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3,607</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4,253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6,594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249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12,367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27,138</w:t>
            </w:r>
          </w:p>
        </w:tc>
      </w:tr>
      <w:tr>
        <w:trPr>
          <w:trHeight w:val="338"/>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14,714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14,714</w:t>
            </w:r>
          </w:p>
        </w:tc>
      </w:tr>
      <w:tr>
        <w:trPr>
          <w:trHeight w:val="203"/>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21,273</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46,197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9,973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54,236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132,489</w:t>
            </w:r>
          </w:p>
        </w:tc>
      </w:tr>
      <w:tr>
        <w:trPr>
          <w:trHeight w:val="203"/>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4,401</w:t>
            </w:r>
          </w:p>
        </w:tc>
        <w:tc>
          <w:tcPr>
            <w:tcW w:w="3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4,401</w:t>
            </w:r>
          </w:p>
        </w:tc>
      </w:tr>
      <w:tr>
        <w:trPr>
          <w:trHeight w:val="197"/>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120,868</w:t>
            </w: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114,883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36,959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123,262</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251</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98,328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494,551</w:t>
            </w:r>
          </w:p>
        </w:tc>
      </w:tr>
      <w:tr>
        <w:trPr>
          <w:trHeight w:val="789"/>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9,223</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10,588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(7,558)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12,303</w:t>
            </w:r>
          </w:p>
        </w:tc>
      </w:tr>
      <w:tr>
        <w:trPr>
          <w:trHeight w:val="203"/>
        </w:trPr>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(79)</w:t>
            </w:r>
          </w:p>
        </w:tc>
        <w:tc>
          <w:tcPr>
            <w:tcW w:w="3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119,952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8,969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128,842</w:t>
            </w:r>
          </w:p>
        </w:tc>
      </w:tr>
      <w:tr>
        <w:trPr>
          <w:trHeight w:val="338"/>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(748)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(3,324)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(55,174)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(59,323)</w:t>
            </w:r>
          </w:p>
        </w:tc>
      </w:tr>
      <w:tr>
        <w:trPr>
          <w:trHeight w:val="203"/>
        </w:trPr>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(883)</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(65,130)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(6,943)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(88,490)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(104,468)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(265,914)</w:t>
            </w:r>
          </w:p>
        </w:tc>
      </w:tr>
      <w:tr>
        <w:trPr>
          <w:trHeight w:val="203"/>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6,144</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3,926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4,475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4,232</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1,842</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20,751</w:t>
            </w:r>
          </w:p>
        </w:tc>
      </w:tr>
      <w:tr>
        <w:trPr>
          <w:trHeight w:val="196"/>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14,405</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(61,952)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(5,792)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46,205</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3,253</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(159,460)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(163,341)</w:t>
            </w:r>
          </w:p>
        </w:tc>
      </w:tr>
      <w:tr>
        <w:trPr>
          <w:trHeight w:val="196"/>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66,477</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(91,177)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(31,760)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102,274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3,002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(204,188)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(155,372)</w:t>
            </w:r>
          </w:p>
        </w:tc>
      </w:tr>
      <w:tr>
        <w:trPr>
          <w:trHeight w:val="338"/>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5,937</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(1,873)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(7,524)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(3,318)</w:t>
            </w:r>
          </w:p>
        </w:tc>
      </w:tr>
      <w:tr>
        <w:trPr>
          <w:trHeight w:val="197"/>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60,540</w:t>
            </w: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(89,304)</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(32,474)</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109,798</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3,002</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(203,616)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(152,054)</w:t>
            </w:r>
          </w:p>
        </w:tc>
      </w:tr>
      <w:tr>
        <w:trPr>
          <w:trHeight w:val="465"/>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116</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(43,261)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(1,709)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(44,880)</w:t>
            </w:r>
          </w:p>
        </w:tc>
      </w:tr>
      <w:tr>
        <w:trPr>
          <w:trHeight w:val="338"/>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44,607</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44,607</w:t>
            </w:r>
          </w:p>
        </w:tc>
      </w:tr>
      <w:tr>
        <w:trPr>
          <w:trHeight w:val="338"/>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55,622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55,622</w:t>
            </w:r>
          </w:p>
        </w:tc>
      </w:tr>
      <w:tr>
        <w:trPr>
          <w:trHeight w:val="588"/>
        </w:trPr>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15,817</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(46,043)</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(30,765)</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109,824</w:t>
            </w:r>
          </w:p>
        </w:tc>
        <w:tc>
          <w:tcPr>
            <w:tcW w:w="10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3,002</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(259,238)</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(207,403)</w:t>
            </w:r>
          </w:p>
        </w:tc>
      </w:tr>
      <w:tr>
        <w:trPr>
          <w:trHeight w:val="22"/>
        </w:trPr>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-3634105</wp:posOffset>
            </wp:positionV>
            <wp:extent cx="713232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-3291205</wp:posOffset>
            </wp:positionV>
            <wp:extent cx="713232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-2725420</wp:posOffset>
            </wp:positionV>
            <wp:extent cx="713232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-2382520</wp:posOffset>
            </wp:positionV>
            <wp:extent cx="713232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-2039620</wp:posOffset>
            </wp:positionV>
            <wp:extent cx="713232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-1782445</wp:posOffset>
            </wp:positionV>
            <wp:extent cx="7132320" cy="17830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-3034030</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400"/>
            <w:col w:w="812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sets forth a reconciliation of Adjusted EBITDA to net income (loss) attributable to stockholders, before series B preferred stock dividend and loss on extinguishment of preferred stock:</w:t>
      </w:r>
    </w:p>
    <w:p>
      <w:pPr>
        <w:sectPr>
          <w:pgSz w:w="11900" w:h="16838" w:orient="portrait"/>
          <w:cols w:equalWidth="0" w:num="1">
            <w:col w:w="11240"/>
          </w:cols>
          <w:pgMar w:left="320" w:top="125" w:right="3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Year Ended December 31, 2025</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Repauno</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Power and Gas</w:t>
            </w:r>
          </w:p>
        </w:tc>
        <w:tc>
          <w:tcPr>
            <w:tcW w:w="10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Sustainability and</w:t>
            </w: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Energy Transition</w:t>
            </w: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110,975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43,625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(4,775)</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232,990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8,506</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(30,097)</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361,224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71" w:right="339" w:bottom="1155" w:gutter="0" w:footer="0" w:header="0"/>
        </w:sectPr>
      </w:pPr>
    </w:p>
    <w:p>
      <w:pPr>
        <w:ind w:left="20" w:right="240"/>
        <w:spacing w:after="0" w:line="245" w:lineRule="auto"/>
        <w:rPr>
          <w:sz w:val="20"/>
          <w:szCs w:val="20"/>
          <w:color w:val="auto"/>
        </w:rPr>
      </w:pPr>
      <w:r>
        <w:rPr>
          <w:rFonts w:ascii="Arial" w:cs="Arial" w:eastAsia="Arial" w:hAnsi="Arial"/>
          <w:sz w:val="14"/>
          <w:szCs w:val="14"/>
          <w:color w:val="auto"/>
        </w:rPr>
        <w:t>Add: Non-controlling share of Adjusted EBITDA</w:t>
      </w:r>
    </w:p>
    <w:p>
      <w:pPr>
        <w:spacing w:after="0" w:line="1" w:lineRule="exact"/>
        <w:rPr>
          <w:sz w:val="20"/>
          <w:szCs w:val="20"/>
          <w:color w:val="auto"/>
        </w:rPr>
      </w:pPr>
    </w:p>
    <w:p>
      <w:pPr>
        <w:ind w:left="20" w:right="520"/>
        <w:spacing w:after="0" w:line="251" w:lineRule="auto"/>
        <w:rPr>
          <w:sz w:val="20"/>
          <w:szCs w:val="20"/>
          <w:color w:val="auto"/>
        </w:rPr>
      </w:pPr>
      <w:r>
        <w:rPr>
          <w:rFonts w:ascii="Arial" w:cs="Arial" w:eastAsia="Arial" w:hAnsi="Arial"/>
          <w:sz w:val="14"/>
          <w:szCs w:val="14"/>
          <w:color w:val="auto"/>
        </w:rPr>
        <w:t>Add: Equity in earnings (losses) of unconsolidated entities</w:t>
      </w:r>
    </w:p>
    <w:p>
      <w:pPr>
        <w:spacing w:after="0" w:line="1" w:lineRule="exact"/>
        <w:rPr>
          <w:sz w:val="20"/>
          <w:szCs w:val="20"/>
          <w:color w:val="auto"/>
        </w:rPr>
      </w:pPr>
    </w:p>
    <w:p>
      <w:pPr>
        <w:ind w:left="20" w:right="600"/>
        <w:spacing w:after="0" w:line="251" w:lineRule="auto"/>
        <w:rPr>
          <w:sz w:val="20"/>
          <w:szCs w:val="20"/>
          <w:color w:val="auto"/>
        </w:rPr>
      </w:pPr>
      <w:r>
        <w:rPr>
          <w:rFonts w:ascii="Arial" w:cs="Arial" w:eastAsia="Arial" w:hAnsi="Arial"/>
          <w:sz w:val="14"/>
          <w:szCs w:val="14"/>
          <w:color w:val="auto"/>
        </w:rPr>
        <w:t>Less: Interest and other costs on pension and OPEB liabilities</w:t>
      </w:r>
    </w:p>
    <w:p>
      <w:pPr>
        <w:spacing w:after="0" w:line="1" w:lineRule="exact"/>
        <w:rPr>
          <w:sz w:val="20"/>
          <w:szCs w:val="20"/>
          <w:color w:val="auto"/>
        </w:rPr>
      </w:pPr>
    </w:p>
    <w:p>
      <w:pPr>
        <w:ind w:left="20" w:right="620"/>
        <w:spacing w:after="0" w:line="251" w:lineRule="auto"/>
        <w:rPr>
          <w:sz w:val="20"/>
          <w:szCs w:val="20"/>
          <w:color w:val="auto"/>
        </w:rPr>
      </w:pPr>
      <w:r>
        <w:rPr>
          <w:rFonts w:ascii="Arial" w:cs="Arial" w:eastAsia="Arial" w:hAnsi="Arial"/>
          <w:sz w:val="14"/>
          <w:szCs w:val="14"/>
          <w:color w:val="auto"/>
        </w:rPr>
        <w:t>Less: Dividends and accretion of redeemable preferred stock</w:t>
      </w:r>
    </w:p>
    <w:p>
      <w:pPr>
        <w:spacing w:after="0" w:line="1" w:lineRule="exact"/>
        <w:rPr>
          <w:sz w:val="20"/>
          <w:szCs w:val="20"/>
          <w:color w:val="auto"/>
        </w:rPr>
      </w:pPr>
    </w:p>
    <w:p>
      <w:pPr>
        <w:ind w:left="20" w:right="340"/>
        <w:spacing w:after="0" w:line="251" w:lineRule="auto"/>
        <w:rPr>
          <w:sz w:val="20"/>
          <w:szCs w:val="20"/>
          <w:color w:val="auto"/>
        </w:rPr>
      </w:pPr>
      <w:r>
        <w:rPr>
          <w:rFonts w:ascii="Arial" w:cs="Arial" w:eastAsia="Arial" w:hAnsi="Arial"/>
          <w:sz w:val="14"/>
          <w:szCs w:val="14"/>
          <w:color w:val="auto"/>
        </w:rPr>
        <w:t>Less: Pro-rata share of Adjusted EBITDA from unconsolidated entities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Interest expense</w:t>
      </w:r>
    </w:p>
    <w:p>
      <w:pPr>
        <w:spacing w:after="0" w:line="40" w:lineRule="exact"/>
        <w:rPr>
          <w:sz w:val="20"/>
          <w:szCs w:val="20"/>
          <w:color w:val="auto"/>
        </w:rPr>
      </w:pPr>
    </w:p>
    <w:p>
      <w:pPr>
        <w:ind w:left="20" w:right="400"/>
        <w:spacing w:after="0" w:line="252" w:lineRule="auto"/>
        <w:rPr>
          <w:sz w:val="20"/>
          <w:szCs w:val="20"/>
          <w:color w:val="auto"/>
        </w:rPr>
      </w:pPr>
      <w:r>
        <w:rPr>
          <w:rFonts w:ascii="Arial" w:cs="Arial" w:eastAsia="Arial" w:hAnsi="Arial"/>
          <w:sz w:val="14"/>
          <w:szCs w:val="14"/>
          <w:color w:val="auto"/>
        </w:rPr>
        <w:t>Less: Depreciation and amortization expense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Incentive allocations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Asset impairment charges</w:t>
      </w:r>
    </w:p>
    <w:p>
      <w:pPr>
        <w:spacing w:after="0" w:line="42" w:lineRule="exact"/>
        <w:rPr>
          <w:sz w:val="20"/>
          <w:szCs w:val="20"/>
          <w:color w:val="auto"/>
        </w:rPr>
      </w:pPr>
    </w:p>
    <w:p>
      <w:pPr>
        <w:ind w:left="20" w:right="480"/>
        <w:spacing w:after="0" w:line="252" w:lineRule="auto"/>
        <w:rPr>
          <w:sz w:val="20"/>
          <w:szCs w:val="20"/>
          <w:color w:val="auto"/>
        </w:rPr>
      </w:pPr>
      <w:r>
        <w:rPr>
          <w:rFonts w:ascii="Arial" w:cs="Arial" w:eastAsia="Arial" w:hAnsi="Arial"/>
          <w:sz w:val="14"/>
          <w:szCs w:val="14"/>
          <w:color w:val="auto"/>
        </w:rPr>
        <w:t>Less: Changes in fair value of non-hedge derivative instruments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Losses on the modification or</w:t>
      </w:r>
    </w:p>
    <w:p>
      <w:pPr>
        <w:ind w:left="20" w:right="120"/>
        <w:spacing w:after="0" w:line="231" w:lineRule="auto"/>
        <w:rPr>
          <w:sz w:val="20"/>
          <w:szCs w:val="20"/>
          <w:color w:val="auto"/>
        </w:rPr>
      </w:pPr>
      <w:r>
        <w:rPr>
          <w:rFonts w:ascii="Arial" w:cs="Arial" w:eastAsia="Arial" w:hAnsi="Arial"/>
          <w:sz w:val="14"/>
          <w:szCs w:val="14"/>
          <w:color w:val="auto"/>
        </w:rPr>
        <w:t>extinguishment of debt and capital lease obligations</w:t>
      </w:r>
    </w:p>
    <w:p>
      <w:pPr>
        <w:spacing w:after="0" w:line="14" w:lineRule="exact"/>
        <w:rPr>
          <w:sz w:val="20"/>
          <w:szCs w:val="20"/>
          <w:color w:val="auto"/>
        </w:rPr>
      </w:pPr>
    </w:p>
    <w:p>
      <w:pPr>
        <w:ind w:left="20" w:right="600"/>
        <w:spacing w:after="0" w:line="252" w:lineRule="auto"/>
        <w:rPr>
          <w:sz w:val="20"/>
          <w:szCs w:val="20"/>
          <w:color w:val="auto"/>
        </w:rPr>
      </w:pPr>
      <w:r>
        <w:rPr>
          <w:rFonts w:ascii="Arial" w:cs="Arial" w:eastAsia="Arial" w:hAnsi="Arial"/>
          <w:sz w:val="14"/>
          <w:szCs w:val="14"/>
          <w:color w:val="auto"/>
        </w:rPr>
        <w:t>Less: Acquisition and transaction expenses</w:t>
      </w:r>
    </w:p>
    <w:p>
      <w:pPr>
        <w:spacing w:after="0" w:line="1" w:lineRule="exact"/>
        <w:rPr>
          <w:sz w:val="20"/>
          <w:szCs w:val="20"/>
          <w:color w:val="auto"/>
        </w:rPr>
      </w:pPr>
    </w:p>
    <w:p>
      <w:pPr>
        <w:ind w:left="20" w:right="540"/>
        <w:spacing w:after="0" w:line="251" w:lineRule="auto"/>
        <w:rPr>
          <w:sz w:val="20"/>
          <w:szCs w:val="20"/>
          <w:color w:val="auto"/>
        </w:rPr>
      </w:pPr>
      <w:r>
        <w:rPr>
          <w:rFonts w:ascii="Arial" w:cs="Arial" w:eastAsia="Arial" w:hAnsi="Arial"/>
          <w:sz w:val="14"/>
          <w:szCs w:val="14"/>
          <w:color w:val="auto"/>
        </w:rPr>
        <w:t>Less: Equity-based compensation expense</w:t>
      </w:r>
    </w:p>
    <w:p>
      <w:pPr>
        <w:spacing w:after="0" w:line="1" w:lineRule="exact"/>
        <w:rPr>
          <w:sz w:val="20"/>
          <w:szCs w:val="20"/>
          <w:color w:val="auto"/>
        </w:rPr>
      </w:pPr>
    </w:p>
    <w:p>
      <w:pPr>
        <w:ind w:left="20" w:right="620"/>
        <w:spacing w:after="0" w:line="251" w:lineRule="auto"/>
        <w:rPr>
          <w:sz w:val="20"/>
          <w:szCs w:val="20"/>
          <w:color w:val="auto"/>
        </w:rPr>
      </w:pPr>
      <w:r>
        <w:rPr>
          <w:rFonts w:ascii="Arial" w:cs="Arial" w:eastAsia="Arial" w:hAnsi="Arial"/>
          <w:sz w:val="14"/>
          <w:szCs w:val="14"/>
          <w:color w:val="auto"/>
        </w:rPr>
        <w:t>Less: (Provision for) benefit from income taxes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Other non-recurring items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spacing w:after="0"/>
              <w:rPr>
                <w:sz w:val="20"/>
                <w:szCs w:val="20"/>
                <w:color w:val="auto"/>
              </w:rPr>
            </w:pPr>
            <w:r>
              <w:rPr>
                <w:rFonts w:ascii="Arial" w:cs="Arial" w:eastAsia="Arial" w:hAnsi="Arial"/>
                <w:sz w:val="14"/>
                <w:szCs w:val="14"/>
                <w:b w:val="1"/>
                <w:bCs w:val="1"/>
                <w:color w:val="auto"/>
              </w:rPr>
              <w:t>Net income (loss) attributable to</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line="145" w:lineRule="exact"/>
              <w:rPr>
                <w:sz w:val="20"/>
                <w:szCs w:val="20"/>
                <w:color w:val="auto"/>
              </w:rPr>
            </w:pPr>
            <w:r>
              <w:rPr>
                <w:rFonts w:ascii="Arial" w:cs="Arial" w:eastAsia="Arial" w:hAnsi="Arial"/>
                <w:sz w:val="14"/>
                <w:szCs w:val="14"/>
                <w:b w:val="1"/>
                <w:bCs w:val="1"/>
                <w:color w:val="auto"/>
              </w:rPr>
              <w:t>stockholders, before series 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60" w:type="dxa"/>
            <w:vAlign w:val="bottom"/>
          </w:tcPr>
          <w:p>
            <w:pPr>
              <w:spacing w:after="0" w:line="139" w:lineRule="exact"/>
              <w:rPr>
                <w:sz w:val="20"/>
                <w:szCs w:val="20"/>
                <w:color w:val="auto"/>
              </w:rPr>
            </w:pPr>
            <w:r>
              <w:rPr>
                <w:rFonts w:ascii="Arial" w:cs="Arial" w:eastAsia="Arial" w:hAnsi="Arial"/>
                <w:sz w:val="14"/>
                <w:szCs w:val="14"/>
                <w:b w:val="1"/>
                <w:bCs w:val="1"/>
                <w:color w:val="auto"/>
              </w:rPr>
              <w:t>preferred stock dividend and loss on</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20"/>
                <w:szCs w:val="20"/>
                <w:color w:val="auto"/>
              </w:rPr>
            </w:pPr>
            <w:r>
              <w:rPr>
                <w:rFonts w:ascii="Arial" w:cs="Arial" w:eastAsia="Arial" w:hAnsi="Arial"/>
                <w:sz w:val="14"/>
                <w:szCs w:val="14"/>
                <w:b w:val="1"/>
                <w:bCs w:val="1"/>
                <w:color w:val="auto"/>
              </w:rPr>
              <w:t>extinguishment of preferred stock</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524</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27,028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337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29,381</w:t>
            </w:r>
          </w:p>
        </w:tc>
      </w:tr>
      <w:tr>
        <w:trPr>
          <w:trHeight w:val="337"/>
        </w:trPr>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9,223</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10,588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(7,558)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12,303</w:t>
            </w:r>
          </w:p>
        </w:tc>
      </w:tr>
      <w:tr>
        <w:trPr>
          <w:trHeight w:val="338"/>
        </w:trPr>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887</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887</w:t>
            </w:r>
          </w:p>
        </w:tc>
      </w:tr>
      <w:tr>
        <w:trPr>
          <w:trHeight w:val="338"/>
        </w:trPr>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99"/>
              </w:rPr>
              <w:t>(44,607)</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(55,622)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(100,229)</w:t>
            </w:r>
          </w:p>
        </w:tc>
      </w:tr>
      <w:tr>
        <w:trPr>
          <w:trHeight w:val="338"/>
        </w:trPr>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99"/>
              </w:rPr>
              <w:t>(26,713)</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(6,503)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2,303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(30,875)</w:t>
            </w:r>
          </w:p>
        </w:tc>
      </w:tr>
      <w:tr>
        <w:trPr>
          <w:trHeight w:val="203"/>
        </w:trPr>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(883)</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(65,130)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(6,943)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(88,490)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(104,468)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(265,914)</w:t>
            </w:r>
          </w:p>
        </w:tc>
      </w:tr>
      <w:tr>
        <w:trPr>
          <w:trHeight w:val="338"/>
        </w:trPr>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99"/>
              </w:rPr>
              <w:t>(21,273)</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(51,128)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(9,973)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(34,144)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(117,328)</w:t>
            </w:r>
          </w:p>
        </w:tc>
      </w:tr>
      <w:tr>
        <w:trPr>
          <w:trHeight w:val="203"/>
        </w:trPr>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3"/>
        </w:trPr>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(4,401)</w:t>
            </w:r>
          </w:p>
        </w:tc>
        <w:tc>
          <w:tcPr>
            <w:tcW w:w="3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(4,401)</w:t>
            </w:r>
          </w:p>
        </w:tc>
      </w:tr>
      <w:tr>
        <w:trPr>
          <w:trHeight w:val="338"/>
        </w:trPr>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4,234</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4,063</w:t>
            </w:r>
          </w:p>
        </w:tc>
      </w:tr>
      <w:tr>
        <w:trPr>
          <w:trHeight w:val="486"/>
        </w:trPr>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(748)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(3,324)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(55,174)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(59,323)</w:t>
            </w:r>
          </w:p>
        </w:tc>
      </w:tr>
      <w:tr>
        <w:trPr>
          <w:trHeight w:val="338"/>
        </w:trPr>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(3,607)</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(4,253)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(6,594)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(249)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(12,367)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(27,138)</w:t>
            </w:r>
          </w:p>
        </w:tc>
      </w:tr>
      <w:tr>
        <w:trPr>
          <w:trHeight w:val="338"/>
        </w:trPr>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(2,300)</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(1,495)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(1,240)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(5,636)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(405)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(11,076)</w:t>
            </w:r>
          </w:p>
        </w:tc>
      </w:tr>
      <w:tr>
        <w:trPr>
          <w:trHeight w:val="338"/>
        </w:trPr>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(5,937)</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1,873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7,524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3,318</w:t>
            </w:r>
          </w:p>
        </w:tc>
      </w:tr>
      <w:tr>
        <w:trPr>
          <w:trHeight w:val="204"/>
        </w:trPr>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(305)</w:t>
            </w:r>
          </w:p>
        </w:tc>
        <w:tc>
          <w:tcPr>
            <w:tcW w:w="3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(2,295)</w:t>
            </w:r>
          </w:p>
        </w:tc>
      </w:tr>
      <w:tr>
        <w:trPr>
          <w:trHeight w:val="588"/>
        </w:trPr>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15,817</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(46,043)</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(30,765)</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109,824</w:t>
            </w:r>
          </w:p>
        </w:tc>
        <w:tc>
          <w:tcPr>
            <w:tcW w:w="10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3,002</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(259,238)</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(207,403)</w:t>
            </w:r>
          </w:p>
        </w:tc>
      </w:tr>
      <w:tr>
        <w:trPr>
          <w:trHeight w:val="22"/>
        </w:trPr>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-3171190</wp:posOffset>
            </wp:positionV>
            <wp:extent cx="713232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-2742565</wp:posOffset>
            </wp:positionV>
            <wp:extent cx="7132320" cy="214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-2313940</wp:posOffset>
            </wp:positionV>
            <wp:extent cx="713232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-1971040</wp:posOffset>
            </wp:positionV>
            <wp:extent cx="713232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-1713865</wp:posOffset>
            </wp:positionV>
            <wp:extent cx="7132320"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-1191260</wp:posOffset>
            </wp:positionV>
            <wp:extent cx="7132320" cy="214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-762635</wp:posOffset>
            </wp:positionV>
            <wp:extent cx="7132320" cy="214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-419735</wp:posOffset>
            </wp:positionV>
            <wp:extent cx="7132320" cy="420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420"/>
            <w:col w:w="8100"/>
          </w:cols>
          <w:pgMar w:left="320" w:top="171" w:right="339" w:bottom="1155" w:gutter="0" w:footer="0" w:header="0"/>
          <w:type w:val="continuous"/>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Year Ended December 31,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Year Ended December 31, 2024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Repauno</w:t>
            </w:r>
          </w:p>
        </w:tc>
        <w:tc>
          <w:tcPr>
            <w:tcW w:w="13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Power and Gas</w:t>
            </w:r>
          </w:p>
        </w:tc>
        <w:tc>
          <w:tcPr>
            <w:tcW w:w="1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Sustainability and</w:t>
            </w: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Energy Transition</w:t>
            </w: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180,027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80,646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15,824</w:t>
            </w:r>
          </w:p>
        </w:tc>
        <w:tc>
          <w:tcPr>
            <w:tcW w:w="12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3"/>
          </w:tcPr>
          <w:p>
            <w:pPr>
              <w:ind w:left="500"/>
              <w:spacing w:after="0"/>
              <w:rPr>
                <w:sz w:val="20"/>
                <w:szCs w:val="20"/>
                <w:color w:val="auto"/>
              </w:rPr>
            </w:pPr>
            <w:r>
              <w:rPr>
                <w:rFonts w:ascii="Arial" w:cs="Arial" w:eastAsia="Arial" w:hAnsi="Arial"/>
                <w:sz w:val="14"/>
                <w:szCs w:val="14"/>
                <w:color w:val="auto"/>
              </w:rPr>
              <w:t>—   $</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331,497</w:t>
            </w:r>
          </w:p>
        </w:tc>
        <w:tc>
          <w:tcPr>
            <w:tcW w:w="0" w:type="dxa"/>
            <w:vAlign w:val="bottom"/>
          </w:tcPr>
          <w:p>
            <w:pPr>
              <w:spacing w:after="0"/>
              <w:rPr>
                <w:sz w:val="1"/>
                <w:szCs w:val="1"/>
                <w:color w:val="auto"/>
              </w:rPr>
            </w:pPr>
          </w:p>
        </w:tc>
      </w:tr>
      <w:tr>
        <w:trPr>
          <w:trHeight w:val="274"/>
        </w:trPr>
        <w:tc>
          <w:tcPr>
            <w:tcW w:w="2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247,674</w:t>
            </w: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14,798</w:t>
            </w:r>
          </w:p>
        </w:tc>
        <w:tc>
          <w:tcPr>
            <w:tcW w:w="0" w:type="dxa"/>
            <w:vAlign w:val="bottom"/>
          </w:tcPr>
          <w:p>
            <w:pPr>
              <w:spacing w:after="0"/>
              <w:rPr>
                <w:sz w:val="1"/>
                <w:szCs w:val="1"/>
                <w:color w:val="auto"/>
              </w:rPr>
            </w:pPr>
          </w:p>
        </w:tc>
      </w:tr>
      <w:tr>
        <w:trPr>
          <w:trHeight w:val="20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5,457</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w:t>
            </w:r>
          </w:p>
        </w:tc>
        <w:tc>
          <w:tcPr>
            <w:tcW w:w="18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11,318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11,318</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79,410</w:t>
            </w: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72,336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72,336</w:t>
            </w:r>
          </w:p>
        </w:tc>
        <w:tc>
          <w:tcPr>
            <w:tcW w:w="0" w:type="dxa"/>
            <w:vAlign w:val="bottom"/>
          </w:tcPr>
          <w:p>
            <w:pPr>
              <w:spacing w:after="0"/>
              <w:rPr>
                <w:sz w:val="1"/>
                <w:szCs w:val="1"/>
                <w:color w:val="auto"/>
              </w:rPr>
            </w:pPr>
          </w:p>
        </w:tc>
      </w:tr>
      <w:tr>
        <w:trPr>
          <w:trHeight w:val="199"/>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117,933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119,098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33,397</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4,483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72,360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83,722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71" w:right="339" w:bottom="1155" w:gutter="0" w:footer="0" w:header="0"/>
          <w:type w:val="continuous"/>
        </w:sect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(expense) income</w:t>
      </w:r>
    </w:p>
    <w:p>
      <w:pPr>
        <w:spacing w:after="0" w:line="42" w:lineRule="exact"/>
        <w:rPr>
          <w:sz w:val="20"/>
          <w:szCs w:val="20"/>
          <w:color w:val="auto"/>
        </w:rPr>
      </w:pPr>
    </w:p>
    <w:p>
      <w:pPr>
        <w:ind w:left="20" w:right="840"/>
        <w:spacing w:after="0" w:line="252" w:lineRule="auto"/>
        <w:rPr>
          <w:sz w:val="20"/>
          <w:szCs w:val="20"/>
          <w:color w:val="auto"/>
        </w:rPr>
      </w:pPr>
      <w:r>
        <w:rPr>
          <w:rFonts w:ascii="Arial" w:cs="Arial" w:eastAsia="Arial" w:hAnsi="Arial"/>
          <w:sz w:val="14"/>
          <w:szCs w:val="14"/>
          <w:color w:val="auto"/>
        </w:rPr>
        <w:t>Equity in (losses) earnings of unconsolidated entities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gain on sale of assets, net</w:t>
      </w:r>
    </w:p>
    <w:p>
      <w:pPr>
        <w:spacing w:after="0" w:line="40" w:lineRule="exact"/>
        <w:rPr>
          <w:sz w:val="20"/>
          <w:szCs w:val="20"/>
          <w:color w:val="auto"/>
        </w:rPr>
      </w:pPr>
    </w:p>
    <w:p>
      <w:pPr>
        <w:ind w:left="20" w:right="200"/>
        <w:spacing w:after="0" w:line="252" w:lineRule="auto"/>
        <w:rPr>
          <w:sz w:val="20"/>
          <w:szCs w:val="20"/>
          <w:color w:val="auto"/>
        </w:rPr>
      </w:pPr>
      <w:r>
        <w:rPr>
          <w:rFonts w:ascii="Arial" w:cs="Arial" w:eastAsia="Arial" w:hAnsi="Arial"/>
          <w:sz w:val="14"/>
          <w:szCs w:val="14"/>
          <w:color w:val="auto"/>
        </w:rPr>
        <w:t>Loss on modification or extinguishment of debt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other expense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(loss) before income taxes</w:t>
      </w:r>
    </w:p>
    <w:p>
      <w:pPr>
        <w:spacing w:after="0" w:line="42" w:lineRule="exact"/>
        <w:rPr>
          <w:sz w:val="20"/>
          <w:szCs w:val="20"/>
          <w:color w:val="auto"/>
        </w:rPr>
      </w:pPr>
    </w:p>
    <w:p>
      <w:pPr>
        <w:ind w:left="20" w:right="500"/>
        <w:spacing w:after="0" w:line="261" w:lineRule="auto"/>
        <w:rPr>
          <w:sz w:val="20"/>
          <w:szCs w:val="20"/>
          <w:color w:val="auto"/>
        </w:rPr>
      </w:pPr>
      <w:r>
        <w:rPr>
          <w:rFonts w:ascii="Arial" w:cs="Arial" w:eastAsia="Arial" w:hAnsi="Arial"/>
          <w:sz w:val="14"/>
          <w:szCs w:val="14"/>
          <w:color w:val="auto"/>
        </w:rPr>
        <w:t>Provision for (benefit from) income taxes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Net income (loss) attributable to</w:t>
      </w:r>
    </w:p>
    <w:p>
      <w:pPr>
        <w:spacing w:after="0" w:line="2" w:lineRule="exact"/>
        <w:rPr>
          <w:sz w:val="20"/>
          <w:szCs w:val="20"/>
          <w:color w:val="auto"/>
        </w:rPr>
      </w:pPr>
    </w:p>
    <w:p>
      <w:pPr>
        <w:ind w:left="20" w:right="160"/>
        <w:spacing w:after="0" w:line="231" w:lineRule="auto"/>
        <w:rPr>
          <w:sz w:val="20"/>
          <w:szCs w:val="20"/>
          <w:color w:val="auto"/>
        </w:rPr>
      </w:pPr>
      <w:r>
        <w:rPr>
          <w:rFonts w:ascii="Arial" w:cs="Arial" w:eastAsia="Arial" w:hAnsi="Arial"/>
          <w:sz w:val="14"/>
          <w:szCs w:val="14"/>
          <w:color w:val="auto"/>
        </w:rPr>
        <w:t>non-controlling interests in consolidated subsidiaries</w:t>
      </w:r>
    </w:p>
    <w:p>
      <w:pPr>
        <w:spacing w:after="0" w:line="14" w:lineRule="exact"/>
        <w:rPr>
          <w:sz w:val="20"/>
          <w:szCs w:val="20"/>
          <w:color w:val="auto"/>
        </w:rPr>
      </w:pPr>
    </w:p>
    <w:p>
      <w:pPr>
        <w:ind w:left="20" w:right="620"/>
        <w:spacing w:after="0" w:line="252" w:lineRule="auto"/>
        <w:rPr>
          <w:sz w:val="20"/>
          <w:szCs w:val="20"/>
          <w:color w:val="auto"/>
        </w:rPr>
      </w:pPr>
      <w:r>
        <w:rPr>
          <w:rFonts w:ascii="Arial" w:cs="Arial" w:eastAsia="Arial" w:hAnsi="Arial"/>
          <w:sz w:val="14"/>
          <w:szCs w:val="14"/>
          <w:color w:val="auto"/>
        </w:rPr>
        <w:t>Less: Dividends and accretion of redeemable preferred stock</w:t>
      </w:r>
    </w:p>
    <w:p>
      <w:pPr>
        <w:ind w:left="20"/>
        <w:spacing w:after="0" w:line="214" w:lineRule="auto"/>
        <w:rPr>
          <w:sz w:val="20"/>
          <w:szCs w:val="20"/>
          <w:color w:val="auto"/>
        </w:rPr>
      </w:pPr>
      <w:r>
        <w:rPr>
          <w:rFonts w:ascii="Arial" w:cs="Arial" w:eastAsia="Arial" w:hAnsi="Arial"/>
          <w:sz w:val="14"/>
          <w:szCs w:val="14"/>
          <w:b w:val="1"/>
          <w:bCs w:val="1"/>
          <w:color w:val="auto"/>
        </w:rPr>
        <w:t>Net income (loss) attributable to</w:t>
      </w:r>
    </w:p>
    <w:p>
      <w:pPr>
        <w:ind w:left="20"/>
        <w:spacing w:after="0"/>
        <w:tabs>
          <w:tab w:leader="none" w:pos="2620" w:val="left"/>
        </w:tabs>
        <w:rPr>
          <w:sz w:val="20"/>
          <w:szCs w:val="20"/>
          <w:color w:val="auto"/>
        </w:rPr>
      </w:pPr>
      <w:r>
        <w:rPr>
          <w:rFonts w:ascii="Arial" w:cs="Arial" w:eastAsia="Arial" w:hAnsi="Arial"/>
          <w:sz w:val="12"/>
          <w:szCs w:val="12"/>
          <w:b w:val="1"/>
          <w:bCs w:val="1"/>
          <w:color w:val="auto"/>
        </w:rPr>
        <w:t>stockholders</w:t>
      </w:r>
      <w:r>
        <w:rPr>
          <w:sz w:val="20"/>
          <w:szCs w:val="20"/>
          <w:color w:val="auto"/>
        </w:rPr>
        <w:tab/>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(37,146)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(18,390)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(55,496)</w:t>
            </w:r>
          </w:p>
        </w:tc>
      </w:tr>
      <w:tr>
        <w:trPr>
          <w:trHeight w:val="203"/>
        </w:trPr>
        <w:tc>
          <w:tcPr>
            <w:tcW w:w="620" w:type="dxa"/>
            <w:vAlign w:val="bottom"/>
          </w:tcPr>
          <w:p>
            <w:pPr>
              <w:jc w:val="right"/>
              <w:ind w:right="68"/>
              <w:spacing w:after="0"/>
              <w:rPr>
                <w:sz w:val="20"/>
                <w:szCs w:val="20"/>
                <w:color w:val="auto"/>
              </w:rPr>
            </w:pPr>
            <w:r>
              <w:rPr>
                <w:rFonts w:ascii="Arial" w:cs="Arial" w:eastAsia="Arial" w:hAnsi="Arial"/>
                <w:sz w:val="14"/>
                <w:szCs w:val="14"/>
                <w:color w:val="auto"/>
              </w:rPr>
              <w:t>(704)</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2,370</w:t>
            </w:r>
          </w:p>
        </w:tc>
      </w:tr>
      <w:tr>
        <w:trPr>
          <w:trHeight w:val="338"/>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(8,925)</w:t>
            </w:r>
          </w:p>
        </w:tc>
      </w:tr>
      <w:tr>
        <w:trPr>
          <w:trHeight w:val="203"/>
        </w:trPr>
        <w:tc>
          <w:tcPr>
            <w:tcW w:w="620" w:type="dxa"/>
            <w:vAlign w:val="bottom"/>
          </w:tcPr>
          <w:p>
            <w:pPr>
              <w:jc w:val="right"/>
              <w:ind w:right="68"/>
              <w:spacing w:after="0"/>
              <w:rPr>
                <w:sz w:val="20"/>
                <w:szCs w:val="20"/>
                <w:color w:val="auto"/>
              </w:rPr>
            </w:pPr>
            <w:r>
              <w:rPr>
                <w:rFonts w:ascii="Arial" w:cs="Arial" w:eastAsia="Arial" w:hAnsi="Arial"/>
                <w:sz w:val="14"/>
                <w:szCs w:val="14"/>
                <w:color w:val="auto"/>
              </w:rPr>
              <w:t>(306)</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(49,001)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(71,184)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(122,108)</w:t>
            </w:r>
          </w:p>
        </w:tc>
      </w:tr>
      <w:tr>
        <w:trPr>
          <w:trHeight w:val="204"/>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770</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12,430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2,167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20,904</w:t>
            </w:r>
          </w:p>
        </w:tc>
      </w:tr>
      <w:tr>
        <w:trPr>
          <w:trHeight w:val="196"/>
        </w:trPr>
        <w:tc>
          <w:tcPr>
            <w:tcW w:w="620" w:type="dxa"/>
            <w:vAlign w:val="bottom"/>
          </w:tcPr>
          <w:p>
            <w:pPr>
              <w:jc w:val="right"/>
              <w:ind w:right="68"/>
              <w:spacing w:after="0"/>
              <w:rPr>
                <w:sz w:val="20"/>
                <w:szCs w:val="20"/>
                <w:color w:val="auto"/>
              </w:rPr>
            </w:pPr>
            <w:r>
              <w:rPr>
                <w:rFonts w:ascii="Arial" w:cs="Arial" w:eastAsia="Arial" w:hAnsi="Arial"/>
                <w:sz w:val="14"/>
                <w:szCs w:val="14"/>
                <w:color w:val="auto"/>
              </w:rPr>
              <w:t>(240)</w:t>
            </w: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(49,337)</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(1,617)</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(24,716)</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(16,223)</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(71,122)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(163,255)</w:t>
            </w:r>
          </w:p>
        </w:tc>
      </w:tr>
      <w:tr>
        <w:trPr>
          <w:trHeight w:val="194"/>
        </w:trPr>
        <w:tc>
          <w:tcPr>
            <w:tcW w:w="620" w:type="dxa"/>
            <w:vAlign w:val="bottom"/>
          </w:tcPr>
          <w:p>
            <w:pPr>
              <w:jc w:val="right"/>
              <w:ind w:right="108"/>
              <w:spacing w:after="0"/>
              <w:rPr>
                <w:sz w:val="20"/>
                <w:szCs w:val="20"/>
                <w:color w:val="auto"/>
              </w:rPr>
            </w:pPr>
            <w:r>
              <w:rPr>
                <w:rFonts w:ascii="Arial" w:cs="Arial" w:eastAsia="Arial" w:hAnsi="Arial"/>
                <w:sz w:val="14"/>
                <w:szCs w:val="14"/>
                <w:color w:val="auto"/>
                <w:w w:val="97"/>
              </w:rPr>
              <w:t>61,854</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(87,789)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(29,199)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(88,583)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(99,844)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(262,751)</w:t>
            </w:r>
          </w:p>
        </w:tc>
      </w:tr>
      <w:tr>
        <w:trPr>
          <w:trHeight w:val="339"/>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4,692</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3,313</w:t>
            </w:r>
          </w:p>
        </w:tc>
      </w:tr>
      <w:tr>
        <w:trPr>
          <w:trHeight w:val="199"/>
        </w:trPr>
        <w:tc>
          <w:tcPr>
            <w:tcW w:w="620" w:type="dxa"/>
            <w:vAlign w:val="bottom"/>
          </w:tcPr>
          <w:p>
            <w:pPr>
              <w:jc w:val="right"/>
              <w:ind w:right="108"/>
              <w:spacing w:after="0"/>
              <w:rPr>
                <w:sz w:val="20"/>
                <w:szCs w:val="20"/>
                <w:color w:val="auto"/>
              </w:rPr>
            </w:pPr>
            <w:r>
              <w:rPr>
                <w:rFonts w:ascii="Arial" w:cs="Arial" w:eastAsia="Arial" w:hAnsi="Arial"/>
                <w:sz w:val="14"/>
                <w:szCs w:val="14"/>
                <w:color w:val="auto"/>
                <w:w w:val="97"/>
              </w:rPr>
              <w:t>57,162</w:t>
            </w: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(86,122)</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(18,759)</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(29,199)</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(88,583)</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(100,563)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(266,064)</w:t>
            </w:r>
          </w:p>
        </w:tc>
      </w:tr>
      <w:tr>
        <w:trPr>
          <w:trHeight w:val="462"/>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245</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(41,491)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(42,419)</w:t>
            </w:r>
          </w:p>
        </w:tc>
      </w:tr>
      <w:tr>
        <w:trPr>
          <w:trHeight w:val="341"/>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70,814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70,814</w:t>
            </w:r>
          </w:p>
        </w:tc>
      </w:tr>
      <w:tr>
        <w:trPr>
          <w:trHeight w:val="290"/>
        </w:trPr>
        <w:tc>
          <w:tcPr>
            <w:tcW w:w="620" w:type="dxa"/>
            <w:vAlign w:val="bottom"/>
          </w:tcPr>
          <w:p>
            <w:pPr>
              <w:jc w:val="right"/>
              <w:ind w:right="108"/>
              <w:spacing w:after="0"/>
              <w:rPr>
                <w:sz w:val="20"/>
                <w:szCs w:val="20"/>
                <w:color w:val="auto"/>
              </w:rPr>
            </w:pPr>
            <w:r>
              <w:rPr>
                <w:rFonts w:ascii="Arial" w:cs="Arial" w:eastAsia="Arial" w:hAnsi="Arial"/>
                <w:sz w:val="14"/>
                <w:szCs w:val="14"/>
                <w:color w:val="auto"/>
                <w:w w:val="97"/>
              </w:rPr>
              <w:t>56,917</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(44,631)</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(17,586)</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(29,199)</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(88,583)</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(171,377)</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(294,459)</w:t>
            </w:r>
          </w:p>
        </w:tc>
      </w:tr>
      <w:tr>
        <w:trPr>
          <w:trHeight w:val="24"/>
        </w:trPr>
        <w:tc>
          <w:tcPr>
            <w:tcW w:w="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-1979295</wp:posOffset>
            </wp:positionV>
            <wp:extent cx="713232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-1636395</wp:posOffset>
            </wp:positionV>
            <wp:extent cx="713232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-1104900</wp:posOffset>
            </wp:positionV>
            <wp:extent cx="7132320" cy="11055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-1379220</wp:posOffset>
            </wp:positionV>
            <wp:extent cx="71323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2720" w:space="480"/>
            <w:col w:w="8040"/>
          </w:cols>
          <w:pgMar w:left="320" w:top="171" w:right="339" w:bottom="1155" w:gutter="0" w:footer="0" w:header="0"/>
          <w:type w:val="continuous"/>
        </w:sect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(loss) attributable to stockholders:</w:t>
      </w:r>
    </w:p>
    <w:p>
      <w:pPr>
        <w:sectPr>
          <w:pgSz w:w="11900" w:h="16838" w:orient="portrait"/>
          <w:cols w:equalWidth="0" w:num="1">
            <w:col w:w="11240"/>
          </w:cols>
          <w:pgMar w:left="320" w:top="171" w:right="339" w:bottom="1155"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rPr>
              <w:t>Year Ended December 31, 2024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Repauno</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Power and Gas</w:t>
            </w:r>
          </w:p>
        </w:tc>
        <w:tc>
          <w:tcPr>
            <w:tcW w:w="10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Sustainability and</w:t>
            </w: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Energy Transition</w:t>
            </w: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84,254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41,967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(5,186)</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40,246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(24,208)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127,588</w:t>
            </w:r>
          </w:p>
        </w:tc>
        <w:tc>
          <w:tcPr>
            <w:tcW w:w="0" w:type="dxa"/>
            <w:vAlign w:val="bottom"/>
          </w:tcPr>
          <w:p>
            <w:pPr>
              <w:spacing w:after="0"/>
              <w:rPr>
                <w:sz w:val="1"/>
                <w:szCs w:val="1"/>
                <w:color w:val="auto"/>
              </w:rPr>
            </w:pPr>
          </w:p>
        </w:tc>
      </w:tr>
      <w:tr>
        <w:trPr>
          <w:trHeight w:val="133"/>
        </w:trPr>
        <w:tc>
          <w:tcPr>
            <w:tcW w:w="2620" w:type="dxa"/>
            <w:vAlign w:val="bottom"/>
          </w:tcPr>
          <w:p>
            <w:pPr>
              <w:ind w:left="20"/>
              <w:spacing w:after="0" w:line="133" w:lineRule="exact"/>
              <w:rPr>
                <w:sz w:val="20"/>
                <w:szCs w:val="20"/>
                <w:color w:val="auto"/>
              </w:rPr>
            </w:pPr>
            <w:r>
              <w:rPr>
                <w:rFonts w:ascii="Arial" w:cs="Arial" w:eastAsia="Arial" w:hAnsi="Arial"/>
                <w:sz w:val="14"/>
                <w:szCs w:val="14"/>
                <w:color w:val="auto"/>
              </w:rPr>
              <w:t>Add: Non-controlling share of Adjusted</w:t>
            </w: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26,264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27,194</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EBITDA</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Equity in (losses) earnings of</w:t>
            </w: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(37,146)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(18,390)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(55,496)</w:t>
            </w: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Arial" w:cs="Arial" w:eastAsia="Arial" w:hAnsi="Arial"/>
                <w:sz w:val="14"/>
                <w:szCs w:val="14"/>
                <w:color w:val="auto"/>
              </w:rPr>
              <w:t>Less: Interest and other costs on</w:t>
            </w: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pension and OPEB liabilities</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Dividends and accretion of</w:t>
            </w: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(70,814)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(70,814)</w:t>
            </w: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preferred stock</w:t>
            </w: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w:t>
            </w:r>
          </w:p>
        </w:tc>
        <w:tc>
          <w:tcPr>
            <w:tcW w:w="18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(30,006)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9,710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(20,272)</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EBITDA from unconsolidated entities</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(122,108)</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Arial" w:cs="Arial" w:eastAsia="Arial" w:hAnsi="Arial"/>
                <w:sz w:val="14"/>
                <w:szCs w:val="14"/>
                <w:color w:val="auto"/>
              </w:rPr>
              <w:t>Less: Depreciation and amortization</w:t>
            </w: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(20,200)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(52,347)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(9,914)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(83,885)</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expense</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(70,401)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(70,401)</w:t>
            </w: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Less: Changes in fair value of non-</w:t>
            </w: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 derivative instruments</w:t>
            </w: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20" w:type="dxa"/>
            <w:vAlign w:val="bottom"/>
          </w:tcPr>
          <w:p>
            <w:pPr>
              <w:ind w:left="20"/>
              <w:spacing w:after="0" w:line="145" w:lineRule="exact"/>
              <w:rPr>
                <w:sz w:val="20"/>
                <w:szCs w:val="20"/>
                <w:color w:val="auto"/>
              </w:rPr>
            </w:pPr>
            <w:r>
              <w:rPr>
                <w:rFonts w:ascii="Arial" w:cs="Arial" w:eastAsia="Arial" w:hAnsi="Arial"/>
                <w:sz w:val="14"/>
                <w:szCs w:val="14"/>
                <w:color w:val="auto"/>
              </w:rPr>
              <w:t>extinguishment of debt and capital lease</w:t>
            </w:r>
          </w:p>
        </w:tc>
        <w:tc>
          <w:tcPr>
            <w:tcW w:w="18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(8,925)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(8,925)</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4"/>
                <w:szCs w:val="14"/>
                <w:color w:val="auto"/>
              </w:rPr>
              <w:t>obligations</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Acquisition and transaction</w:t>
            </w: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(5,457)</w:t>
            </w: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Arial" w:cs="Arial" w:eastAsia="Arial" w:hAnsi="Arial"/>
                <w:sz w:val="14"/>
                <w:szCs w:val="14"/>
                <w:color w:val="auto"/>
              </w:rPr>
              <w:t>Less: Equity-based compensation</w:t>
            </w: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(1,801)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(4,233)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(2,108)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(8,636)</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expense</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(Provision for) benefit from income</w:t>
            </w: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(4,692)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1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auto"/>
              </w:rPr>
              <w:t>Less: Other non-recurring items</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62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56,917</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(44,631)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(17,586)</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(29,199)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(88,583)</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(171,377)</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(294,459)</w:t>
            </w:r>
          </w:p>
        </w:tc>
        <w:tc>
          <w:tcPr>
            <w:tcW w:w="0" w:type="dxa"/>
            <w:vAlign w:val="bottom"/>
          </w:tcPr>
          <w:p>
            <w:pPr>
              <w:spacing w:after="0"/>
              <w:rPr>
                <w:sz w:val="1"/>
                <w:szCs w:val="1"/>
                <w:color w:val="auto"/>
              </w:rPr>
            </w:pPr>
          </w:p>
        </w:tc>
      </w:tr>
      <w:tr>
        <w:trPr>
          <w:trHeight w:val="178"/>
        </w:trPr>
        <w:tc>
          <w:tcPr>
            <w:tcW w:w="262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stockholders</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Year Ended December 31,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Year Ended December 31, 2023</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Repauno</w:t>
            </w:r>
          </w:p>
        </w:tc>
        <w:tc>
          <w:tcPr>
            <w:tcW w:w="13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Power and Gas</w:t>
            </w:r>
          </w:p>
        </w:tc>
        <w:tc>
          <w:tcPr>
            <w:tcW w:w="1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Sustainability and</w:t>
            </w: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Corporate and</w:t>
            </w:r>
          </w:p>
        </w:tc>
        <w:tc>
          <w:tcPr>
            <w:tcW w:w="11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Energy Transition</w:t>
            </w: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169,445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72,146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10,691</w:t>
            </w:r>
          </w:p>
        </w:tc>
        <w:tc>
          <w:tcPr>
            <w:tcW w:w="12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3"/>
          </w:tcPr>
          <w:p>
            <w:pPr>
              <w:ind w:left="500"/>
              <w:spacing w:after="0"/>
              <w:rPr>
                <w:sz w:val="20"/>
                <w:szCs w:val="20"/>
                <w:color w:val="auto"/>
              </w:rPr>
            </w:pPr>
            <w:r>
              <w:rPr>
                <w:rFonts w:ascii="Arial" w:cs="Arial" w:eastAsia="Arial" w:hAnsi="Arial"/>
                <w:sz w:val="14"/>
                <w:szCs w:val="14"/>
                <w:color w:val="auto"/>
              </w:rPr>
              <w:t>—   $</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68,190</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320,472</w:t>
            </w:r>
          </w:p>
        </w:tc>
        <w:tc>
          <w:tcPr>
            <w:tcW w:w="0" w:type="dxa"/>
            <w:vAlign w:val="bottom"/>
          </w:tcPr>
          <w:p>
            <w:pPr>
              <w:spacing w:after="0"/>
              <w:rPr>
                <w:sz w:val="1"/>
                <w:szCs w:val="1"/>
                <w:color w:val="auto"/>
              </w:rPr>
            </w:pPr>
          </w:p>
        </w:tc>
      </w:tr>
      <w:tr>
        <w:trPr>
          <w:trHeight w:val="274"/>
        </w:trPr>
        <w:tc>
          <w:tcPr>
            <w:tcW w:w="2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69,166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253,672</w:t>
            </w: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12,833</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12,833</w:t>
            </w:r>
          </w:p>
        </w:tc>
        <w:tc>
          <w:tcPr>
            <w:tcW w:w="0" w:type="dxa"/>
            <w:vAlign w:val="bottom"/>
          </w:tcPr>
          <w:p>
            <w:pPr>
              <w:spacing w:after="0"/>
              <w:rPr>
                <w:sz w:val="1"/>
                <w:szCs w:val="1"/>
                <w:color w:val="auto"/>
              </w:rPr>
            </w:pPr>
          </w:p>
        </w:tc>
      </w:tr>
      <w:tr>
        <w:trPr>
          <w:trHeight w:val="207"/>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w:t>
            </w:r>
          </w:p>
        </w:tc>
        <w:tc>
          <w:tcPr>
            <w:tcW w:w="18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12,467</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12,467</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80,992</w:t>
            </w: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99"/>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114,042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116,862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31,539</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99,554</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364,847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(expense) income</w:t>
      </w:r>
    </w:p>
    <w:p>
      <w:pPr>
        <w:spacing w:after="0" w:line="42" w:lineRule="exact"/>
        <w:rPr>
          <w:sz w:val="20"/>
          <w:szCs w:val="20"/>
          <w:color w:val="auto"/>
        </w:rPr>
      </w:pPr>
    </w:p>
    <w:p>
      <w:pPr>
        <w:ind w:left="20" w:right="840"/>
        <w:spacing w:after="0" w:line="252" w:lineRule="auto"/>
        <w:rPr>
          <w:sz w:val="20"/>
          <w:szCs w:val="20"/>
          <w:color w:val="auto"/>
        </w:rPr>
      </w:pPr>
      <w:r>
        <w:rPr>
          <w:rFonts w:ascii="Arial" w:cs="Arial" w:eastAsia="Arial" w:hAnsi="Arial"/>
          <w:sz w:val="14"/>
          <w:szCs w:val="14"/>
          <w:color w:val="auto"/>
        </w:rPr>
        <w:t>Equity in (losses) earnings of unconsolidated entities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gain on sale of assets, net</w:t>
      </w:r>
    </w:p>
    <w:p>
      <w:pPr>
        <w:spacing w:after="0" w:line="40" w:lineRule="exact"/>
        <w:rPr>
          <w:sz w:val="20"/>
          <w:szCs w:val="20"/>
          <w:color w:val="auto"/>
        </w:rPr>
      </w:pPr>
    </w:p>
    <w:p>
      <w:pPr>
        <w:ind w:left="20" w:right="200"/>
        <w:spacing w:after="0" w:line="252" w:lineRule="auto"/>
        <w:rPr>
          <w:sz w:val="20"/>
          <w:szCs w:val="20"/>
          <w:color w:val="auto"/>
        </w:rPr>
      </w:pPr>
      <w:r>
        <w:rPr>
          <w:rFonts w:ascii="Arial" w:cs="Arial" w:eastAsia="Arial" w:hAnsi="Arial"/>
          <w:sz w:val="14"/>
          <w:szCs w:val="14"/>
          <w:color w:val="auto"/>
        </w:rPr>
        <w:t>Loss on modification or extinguishment of debt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(expense) income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other expense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(loss) before income taxes</w:t>
      </w:r>
    </w:p>
    <w:p>
      <w:pPr>
        <w:spacing w:after="0" w:line="42" w:lineRule="exact"/>
        <w:rPr>
          <w:sz w:val="20"/>
          <w:szCs w:val="20"/>
          <w:color w:val="auto"/>
        </w:rPr>
      </w:pPr>
    </w:p>
    <w:p>
      <w:pPr>
        <w:ind w:left="20" w:right="500"/>
        <w:spacing w:after="0" w:line="261" w:lineRule="auto"/>
        <w:rPr>
          <w:sz w:val="20"/>
          <w:szCs w:val="20"/>
          <w:color w:val="auto"/>
        </w:rPr>
      </w:pPr>
      <w:r>
        <w:rPr>
          <w:rFonts w:ascii="Arial" w:cs="Arial" w:eastAsia="Arial" w:hAnsi="Arial"/>
          <w:sz w:val="14"/>
          <w:szCs w:val="14"/>
          <w:color w:val="auto"/>
        </w:rPr>
        <w:t>(Benefit from) provision for income taxes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Net income (loss) attributable to</w:t>
      </w:r>
    </w:p>
    <w:p>
      <w:pPr>
        <w:spacing w:after="0" w:line="2" w:lineRule="exact"/>
        <w:rPr>
          <w:sz w:val="20"/>
          <w:szCs w:val="20"/>
          <w:color w:val="auto"/>
        </w:rPr>
      </w:pPr>
    </w:p>
    <w:p>
      <w:pPr>
        <w:ind w:left="20" w:right="160"/>
        <w:spacing w:after="0" w:line="231" w:lineRule="auto"/>
        <w:rPr>
          <w:sz w:val="20"/>
          <w:szCs w:val="20"/>
          <w:color w:val="auto"/>
        </w:rPr>
      </w:pPr>
      <w:r>
        <w:rPr>
          <w:rFonts w:ascii="Arial" w:cs="Arial" w:eastAsia="Arial" w:hAnsi="Arial"/>
          <w:sz w:val="14"/>
          <w:szCs w:val="14"/>
          <w:color w:val="auto"/>
        </w:rPr>
        <w:t>non-controlling interests in consolidated subsidiaries</w:t>
      </w:r>
    </w:p>
    <w:p>
      <w:pPr>
        <w:spacing w:after="0" w:line="14" w:lineRule="exact"/>
        <w:rPr>
          <w:sz w:val="20"/>
          <w:szCs w:val="20"/>
          <w:color w:val="auto"/>
        </w:rPr>
      </w:pPr>
    </w:p>
    <w:p>
      <w:pPr>
        <w:ind w:left="20" w:right="620"/>
        <w:spacing w:after="0" w:line="252" w:lineRule="auto"/>
        <w:rPr>
          <w:sz w:val="20"/>
          <w:szCs w:val="20"/>
          <w:color w:val="auto"/>
        </w:rPr>
      </w:pPr>
      <w:r>
        <w:rPr>
          <w:rFonts w:ascii="Arial" w:cs="Arial" w:eastAsia="Arial" w:hAnsi="Arial"/>
          <w:sz w:val="14"/>
          <w:szCs w:val="14"/>
          <w:color w:val="auto"/>
        </w:rPr>
        <w:t>Less: Dividends and accretion of redeemable preferred stock</w:t>
      </w:r>
    </w:p>
    <w:p>
      <w:pPr>
        <w:ind w:left="20"/>
        <w:spacing w:after="0" w:line="214" w:lineRule="auto"/>
        <w:rPr>
          <w:sz w:val="20"/>
          <w:szCs w:val="20"/>
          <w:color w:val="auto"/>
        </w:rPr>
      </w:pPr>
      <w:r>
        <w:rPr>
          <w:rFonts w:ascii="Arial" w:cs="Arial" w:eastAsia="Arial" w:hAnsi="Arial"/>
          <w:sz w:val="14"/>
          <w:szCs w:val="14"/>
          <w:b w:val="1"/>
          <w:bCs w:val="1"/>
          <w:color w:val="auto"/>
        </w:rPr>
        <w:t>Net income (loss) attributable to</w:t>
      </w:r>
    </w:p>
    <w:p>
      <w:pPr>
        <w:ind w:left="20"/>
        <w:spacing w:after="0"/>
        <w:tabs>
          <w:tab w:leader="none" w:pos="2620" w:val="left"/>
        </w:tabs>
        <w:rPr>
          <w:sz w:val="20"/>
          <w:szCs w:val="20"/>
          <w:color w:val="auto"/>
        </w:rPr>
      </w:pPr>
      <w:r>
        <w:rPr>
          <w:rFonts w:ascii="Arial" w:cs="Arial" w:eastAsia="Arial" w:hAnsi="Arial"/>
          <w:sz w:val="12"/>
          <w:szCs w:val="12"/>
          <w:b w:val="1"/>
          <w:bCs w:val="1"/>
          <w:color w:val="auto"/>
        </w:rPr>
        <w:t>stockholders</w:t>
      </w:r>
      <w:r>
        <w:rPr>
          <w:sz w:val="20"/>
          <w:szCs w:val="20"/>
          <w:color w:val="auto"/>
        </w:rPr>
        <w:tab/>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(9,949)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(14,814)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(24,707)</w:t>
            </w:r>
          </w:p>
        </w:tc>
      </w:tr>
      <w:tr>
        <w:trPr>
          <w:trHeight w:val="203"/>
        </w:trPr>
        <w:tc>
          <w:tcPr>
            <w:tcW w:w="620" w:type="dxa"/>
            <w:vAlign w:val="bottom"/>
          </w:tcPr>
          <w:p>
            <w:pPr>
              <w:jc w:val="right"/>
              <w:ind w:right="68"/>
              <w:spacing w:after="0"/>
              <w:rPr>
                <w:sz w:val="20"/>
                <w:szCs w:val="20"/>
                <w:color w:val="auto"/>
              </w:rPr>
            </w:pPr>
            <w:r>
              <w:rPr>
                <w:rFonts w:ascii="Arial" w:cs="Arial" w:eastAsia="Arial" w:hAnsi="Arial"/>
                <w:sz w:val="14"/>
                <w:szCs w:val="14"/>
                <w:color w:val="auto"/>
              </w:rPr>
              <w:t>(437)</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7,292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6,855</w:t>
            </w:r>
          </w:p>
        </w:tc>
      </w:tr>
      <w:tr>
        <w:trPr>
          <w:trHeight w:val="338"/>
        </w:trPr>
        <w:tc>
          <w:tcPr>
            <w:tcW w:w="620" w:type="dxa"/>
            <w:vAlign w:val="bottom"/>
          </w:tcPr>
          <w:p>
            <w:pPr>
              <w:jc w:val="right"/>
              <w:ind w:right="68"/>
              <w:spacing w:after="0"/>
              <w:rPr>
                <w:sz w:val="20"/>
                <w:szCs w:val="20"/>
                <w:color w:val="auto"/>
              </w:rPr>
            </w:pPr>
            <w:r>
              <w:rPr>
                <w:rFonts w:ascii="Arial" w:cs="Arial" w:eastAsia="Arial" w:hAnsi="Arial"/>
                <w:sz w:val="14"/>
                <w:szCs w:val="14"/>
                <w:color w:val="auto"/>
              </w:rPr>
              <w:t>(937)</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(2,036)</w:t>
            </w:r>
          </w:p>
        </w:tc>
      </w:tr>
      <w:tr>
        <w:trPr>
          <w:trHeight w:val="203"/>
        </w:trPr>
        <w:tc>
          <w:tcPr>
            <w:tcW w:w="620" w:type="dxa"/>
            <w:vAlign w:val="bottom"/>
          </w:tcPr>
          <w:p>
            <w:pPr>
              <w:jc w:val="right"/>
              <w:ind w:right="68"/>
              <w:spacing w:after="0"/>
              <w:rPr>
                <w:sz w:val="20"/>
                <w:szCs w:val="20"/>
                <w:color w:val="auto"/>
              </w:rPr>
            </w:pPr>
            <w:r>
              <w:rPr>
                <w:rFonts w:ascii="Arial" w:cs="Arial" w:eastAsia="Arial" w:hAnsi="Arial"/>
                <w:sz w:val="14"/>
                <w:szCs w:val="14"/>
                <w:color w:val="auto"/>
              </w:rPr>
              <w:t>(2,284)</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(32,443)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(62,316)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(99,603)</w:t>
            </w:r>
          </w:p>
        </w:tc>
      </w:tr>
      <w:tr>
        <w:trPr>
          <w:trHeight w:val="204"/>
        </w:trPr>
        <w:tc>
          <w:tcPr>
            <w:tcW w:w="620" w:type="dxa"/>
            <w:vAlign w:val="bottom"/>
          </w:tcPr>
          <w:p>
            <w:pPr>
              <w:jc w:val="right"/>
              <w:ind w:right="68"/>
              <w:spacing w:after="0"/>
              <w:rPr>
                <w:sz w:val="20"/>
                <w:szCs w:val="20"/>
                <w:color w:val="auto"/>
              </w:rPr>
            </w:pPr>
            <w:r>
              <w:rPr>
                <w:rFonts w:ascii="Arial" w:cs="Arial" w:eastAsia="Arial" w:hAnsi="Arial"/>
                <w:sz w:val="14"/>
                <w:szCs w:val="14"/>
                <w:color w:val="auto"/>
              </w:rPr>
              <w:t>(2,164)</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7,523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2,529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6,586</w:t>
            </w:r>
          </w:p>
        </w:tc>
      </w:tr>
      <w:tr>
        <w:trPr>
          <w:trHeight w:val="196"/>
        </w:trPr>
        <w:tc>
          <w:tcPr>
            <w:tcW w:w="620" w:type="dxa"/>
            <w:vAlign w:val="bottom"/>
          </w:tcPr>
          <w:p>
            <w:pPr>
              <w:jc w:val="right"/>
              <w:ind w:right="68"/>
              <w:spacing w:after="0"/>
              <w:rPr>
                <w:sz w:val="20"/>
                <w:szCs w:val="20"/>
                <w:color w:val="auto"/>
              </w:rPr>
            </w:pPr>
            <w:r>
              <w:rPr>
                <w:rFonts w:ascii="Arial" w:cs="Arial" w:eastAsia="Arial" w:hAnsi="Arial"/>
                <w:sz w:val="14"/>
                <w:szCs w:val="14"/>
                <w:color w:val="auto"/>
              </w:rPr>
              <w:t>(5,822)</w:t>
            </w: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(26,453)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(2,557)</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(2,429)</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(12,285)</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(63,359)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(112,905)</w:t>
            </w:r>
          </w:p>
        </w:tc>
      </w:tr>
      <w:tr>
        <w:trPr>
          <w:trHeight w:val="194"/>
        </w:trPr>
        <w:tc>
          <w:tcPr>
            <w:tcW w:w="620" w:type="dxa"/>
            <w:vAlign w:val="bottom"/>
          </w:tcPr>
          <w:p>
            <w:pPr>
              <w:jc w:val="right"/>
              <w:ind w:right="108"/>
              <w:spacing w:after="0"/>
              <w:rPr>
                <w:sz w:val="20"/>
                <w:szCs w:val="20"/>
                <w:color w:val="auto"/>
              </w:rPr>
            </w:pPr>
            <w:r>
              <w:rPr>
                <w:rFonts w:ascii="Arial" w:cs="Arial" w:eastAsia="Arial" w:hAnsi="Arial"/>
                <w:sz w:val="14"/>
                <w:szCs w:val="14"/>
                <w:color w:val="auto"/>
                <w:w w:val="97"/>
              </w:rPr>
              <w:t>49,581</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(71,169)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(23,405)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(5,249)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(12,315)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(94,723)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(157,280)</w:t>
            </w:r>
          </w:p>
        </w:tc>
      </w:tr>
      <w:tr>
        <w:trPr>
          <w:trHeight w:val="339"/>
        </w:trPr>
        <w:tc>
          <w:tcPr>
            <w:tcW w:w="620" w:type="dxa"/>
            <w:vAlign w:val="bottom"/>
          </w:tcPr>
          <w:p>
            <w:pPr>
              <w:jc w:val="right"/>
              <w:ind w:right="68"/>
              <w:spacing w:after="0"/>
              <w:rPr>
                <w:sz w:val="20"/>
                <w:szCs w:val="20"/>
                <w:color w:val="auto"/>
              </w:rPr>
            </w:pPr>
            <w:r>
              <w:rPr>
                <w:rFonts w:ascii="Arial" w:cs="Arial" w:eastAsia="Arial" w:hAnsi="Arial"/>
                <w:sz w:val="14"/>
                <w:szCs w:val="14"/>
                <w:color w:val="auto"/>
              </w:rPr>
              <w:t>(561)</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2,468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2,470</w:t>
            </w:r>
          </w:p>
        </w:tc>
      </w:tr>
      <w:tr>
        <w:trPr>
          <w:trHeight w:val="199"/>
        </w:trPr>
        <w:tc>
          <w:tcPr>
            <w:tcW w:w="620" w:type="dxa"/>
            <w:vAlign w:val="bottom"/>
          </w:tcPr>
          <w:p>
            <w:pPr>
              <w:jc w:val="right"/>
              <w:ind w:right="108"/>
              <w:spacing w:after="0"/>
              <w:rPr>
                <w:sz w:val="20"/>
                <w:szCs w:val="20"/>
                <w:color w:val="auto"/>
              </w:rPr>
            </w:pPr>
            <w:r>
              <w:rPr>
                <w:rFonts w:ascii="Arial" w:cs="Arial" w:eastAsia="Arial" w:hAnsi="Arial"/>
                <w:sz w:val="14"/>
                <w:szCs w:val="14"/>
                <w:color w:val="auto"/>
                <w:w w:val="97"/>
              </w:rPr>
              <w:t>50,142</w:t>
            </w: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(73,637)</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(23,901)</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(5,249)</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(12,315)</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(94,790)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(159,750)</w:t>
            </w:r>
          </w:p>
        </w:tc>
      </w:tr>
      <w:tr>
        <w:trPr>
          <w:trHeight w:val="462"/>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143</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(36,917)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(38,414)</w:t>
            </w:r>
          </w:p>
        </w:tc>
      </w:tr>
      <w:tr>
        <w:trPr>
          <w:trHeight w:val="341"/>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62,400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62,400</w:t>
            </w:r>
          </w:p>
        </w:tc>
      </w:tr>
      <w:tr>
        <w:trPr>
          <w:trHeight w:val="290"/>
        </w:trPr>
        <w:tc>
          <w:tcPr>
            <w:tcW w:w="620" w:type="dxa"/>
            <w:vAlign w:val="bottom"/>
          </w:tcPr>
          <w:p>
            <w:pPr>
              <w:jc w:val="right"/>
              <w:ind w:right="108"/>
              <w:spacing w:after="0"/>
              <w:rPr>
                <w:sz w:val="20"/>
                <w:szCs w:val="20"/>
                <w:color w:val="auto"/>
              </w:rPr>
            </w:pPr>
            <w:r>
              <w:rPr>
                <w:rFonts w:ascii="Arial" w:cs="Arial" w:eastAsia="Arial" w:hAnsi="Arial"/>
                <w:sz w:val="14"/>
                <w:szCs w:val="14"/>
                <w:color w:val="auto"/>
                <w:w w:val="97"/>
              </w:rPr>
              <w:t>49,999</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(36,720)</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(22,489)</w:t>
            </w:r>
          </w:p>
        </w:tc>
        <w:tc>
          <w:tcPr>
            <w:tcW w:w="1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(5,249)</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(12,315)</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(156,962)</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(183,736)</w:t>
            </w:r>
          </w:p>
        </w:tc>
      </w:tr>
      <w:tr>
        <w:trPr>
          <w:trHeight w:val="24"/>
        </w:trPr>
        <w:tc>
          <w:tcPr>
            <w:tcW w:w="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-1979295</wp:posOffset>
            </wp:positionV>
            <wp:extent cx="7132320" cy="1282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-1636395</wp:posOffset>
            </wp:positionV>
            <wp:extent cx="713232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-1104900</wp:posOffset>
            </wp:positionV>
            <wp:extent cx="7132320" cy="11055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-1379220</wp:posOffset>
            </wp:positionV>
            <wp:extent cx="71323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2">
            <w:col w:w="2720" w:space="480"/>
            <w:col w:w="8040"/>
          </w:cols>
          <w:pgMar w:left="320" w:top="171" w:right="339" w:bottom="1440" w:gutter="0" w:footer="0" w:header="0"/>
          <w:type w:val="continuous"/>
        </w:sectPr>
      </w:pPr>
    </w:p>
    <w:bookmarkStart w:id="108" w:name="page109"/>
    <w:bookmarkEnd w:id="108"/>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(loss) attributable to stockholders: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rPr>
              <w:t>Year Ended December 31, 2023</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Repauno</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Power and Gas</w:t>
            </w:r>
          </w:p>
        </w:tc>
        <w:tc>
          <w:tcPr>
            <w:tcW w:w="10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Sustainability and</w:t>
            </w: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Energy Transition</w:t>
            </w: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78,521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35,694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(8,061)</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34,784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(26,163)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107,522</w:t>
            </w:r>
          </w:p>
        </w:tc>
        <w:tc>
          <w:tcPr>
            <w:tcW w:w="0" w:type="dxa"/>
            <w:vAlign w:val="bottom"/>
          </w:tcPr>
          <w:p>
            <w:pPr>
              <w:spacing w:after="0"/>
              <w:rPr>
                <w:sz w:val="1"/>
                <w:szCs w:val="1"/>
                <w:color w:val="auto"/>
              </w:rPr>
            </w:pPr>
          </w:p>
        </w:tc>
      </w:tr>
      <w:tr>
        <w:trPr>
          <w:trHeight w:val="133"/>
        </w:trPr>
        <w:tc>
          <w:tcPr>
            <w:tcW w:w="2620" w:type="dxa"/>
            <w:vAlign w:val="bottom"/>
          </w:tcPr>
          <w:p>
            <w:pPr>
              <w:ind w:left="20"/>
              <w:spacing w:after="0" w:line="133" w:lineRule="exact"/>
              <w:rPr>
                <w:sz w:val="20"/>
                <w:szCs w:val="20"/>
                <w:color w:val="auto"/>
              </w:rPr>
            </w:pPr>
            <w:r>
              <w:rPr>
                <w:rFonts w:ascii="Arial" w:cs="Arial" w:eastAsia="Arial" w:hAnsi="Arial"/>
                <w:sz w:val="14"/>
                <w:szCs w:val="14"/>
                <w:color w:val="auto"/>
              </w:rPr>
              <w:t>Add: Non-controlling share of Adjusted</w:t>
            </w: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20,328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21,515</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EBITDA</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Equity in (losses) earnings of</w:t>
            </w: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(9,949)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(14,814)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(24,707)</w:t>
            </w: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Arial" w:cs="Arial" w:eastAsia="Arial" w:hAnsi="Arial"/>
                <w:sz w:val="14"/>
                <w:szCs w:val="14"/>
                <w:color w:val="auto"/>
              </w:rPr>
              <w:t>Less: Interest and other costs on</w:t>
            </w: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(2,130)</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pension and OPEB liabilities</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Dividends and accretion of</w:t>
            </w: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(62,400)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(62,400)</w:t>
            </w: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preferred stock</w:t>
            </w: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w:t>
            </w:r>
          </w:p>
        </w:tc>
        <w:tc>
          <w:tcPr>
            <w:tcW w:w="18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(29,987)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9,753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(20,209)</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EBITDA from unconsolidated entities</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(99,603)</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Arial" w:cs="Arial" w:eastAsia="Arial" w:hAnsi="Arial"/>
                <w:sz w:val="14"/>
                <w:szCs w:val="14"/>
                <w:color w:val="auto"/>
              </w:rPr>
              <w:t>Less: Depreciation and amortization</w:t>
            </w: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(19,590)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(49,465)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(9,336)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(3,150)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(81,541)</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expense</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Less: Changes in fair value of non-</w:t>
            </w: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 derivative instruments</w:t>
            </w: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line="149" w:lineRule="exact"/>
              <w:rPr>
                <w:sz w:val="20"/>
                <w:szCs w:val="20"/>
                <w:color w:val="auto"/>
              </w:rPr>
            </w:pPr>
            <w:r>
              <w:rPr>
                <w:rFonts w:ascii="Arial" w:cs="Arial" w:eastAsia="Arial" w:hAnsi="Arial"/>
                <w:sz w:val="14"/>
                <w:szCs w:val="14"/>
                <w:color w:val="auto"/>
              </w:rPr>
              <w:t>extinguishment of debt and capital lease</w:t>
            </w:r>
          </w:p>
        </w:tc>
        <w:tc>
          <w:tcPr>
            <w:tcW w:w="1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(937)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obligations</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Acquisition and transaction</w:t>
            </w: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Arial" w:cs="Arial" w:eastAsia="Arial" w:hAnsi="Arial"/>
                <w:sz w:val="14"/>
                <w:szCs w:val="14"/>
                <w:color w:val="auto"/>
              </w:rPr>
              <w:t>Less: Equity-based compensation</w:t>
            </w: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(5,865)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(1,770)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(9,199)</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Arial" w:cs="Arial" w:eastAsia="Arial" w:hAnsi="Arial"/>
                <w:sz w:val="14"/>
                <w:szCs w:val="14"/>
                <w:color w:val="auto"/>
              </w:rPr>
              <w:t>expense</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Benefit from (provision for) income</w:t>
            </w: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1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auto"/>
              </w:rPr>
              <w:t>Less: Other non-recurring items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137"/>
        </w:trPr>
        <w:tc>
          <w:tcPr>
            <w:tcW w:w="262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49,999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(36,720)</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(22,489)</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(12,315)</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(156,962)</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(183,736)</w:t>
            </w:r>
          </w:p>
        </w:tc>
        <w:tc>
          <w:tcPr>
            <w:tcW w:w="0" w:type="dxa"/>
            <w:vAlign w:val="bottom"/>
          </w:tcPr>
          <w:p>
            <w:pPr>
              <w:spacing w:after="0"/>
              <w:rPr>
                <w:sz w:val="1"/>
                <w:szCs w:val="1"/>
                <w:color w:val="auto"/>
              </w:rPr>
            </w:pPr>
          </w:p>
        </w:tc>
      </w:tr>
      <w:tr>
        <w:trPr>
          <w:trHeight w:val="178"/>
        </w:trPr>
        <w:tc>
          <w:tcPr>
            <w:tcW w:w="262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stockholders</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Balance Sheet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sets forth the summarized balance sheet. All property, plant and equipment and leasing equipment are located in North America.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Repauno</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Power and Gas</w:t>
            </w:r>
          </w:p>
        </w:tc>
        <w:tc>
          <w:tcPr>
            <w:tcW w:w="100" w:type="dxa"/>
            <w:vAlign w:val="bottom"/>
          </w:tcPr>
          <w:p>
            <w:pPr>
              <w:spacing w:after="0"/>
              <w:rPr>
                <w:sz w:val="12"/>
                <w:szCs w:val="12"/>
                <w:color w:val="auto"/>
              </w:rPr>
            </w:pPr>
          </w:p>
        </w:tc>
        <w:tc>
          <w:tcPr>
            <w:tcW w:w="142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Sustainability and</w:t>
            </w:r>
          </w:p>
        </w:tc>
        <w:tc>
          <w:tcPr>
            <w:tcW w:w="120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Energy Transition</w:t>
            </w:r>
          </w:p>
        </w:tc>
        <w:tc>
          <w:tcPr>
            <w:tcW w:w="2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90,394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100,455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165,765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84,222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14,716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28,459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484,011</w:t>
            </w:r>
          </w:p>
        </w:tc>
        <w:tc>
          <w:tcPr>
            <w:tcW w:w="0" w:type="dxa"/>
            <w:vAlign w:val="bottom"/>
          </w:tcPr>
          <w:p>
            <w:pPr>
              <w:spacing w:after="0"/>
              <w:rPr>
                <w:sz w:val="1"/>
                <w:szCs w:val="1"/>
                <w:color w:val="auto"/>
              </w:rPr>
            </w:pPr>
          </w:p>
        </w:tc>
      </w:tr>
      <w:tr>
        <w:trPr>
          <w:trHeight w:val="202"/>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Non-current assets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2,010,137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1,112,460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450,928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1,637,568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32,383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21,174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5,264,650</w:t>
            </w:r>
          </w:p>
        </w:tc>
        <w:tc>
          <w:tcPr>
            <w:tcW w:w="0" w:type="dxa"/>
            <w:vAlign w:val="bottom"/>
          </w:tcPr>
          <w:p>
            <w:pPr>
              <w:spacing w:after="0"/>
              <w:rPr>
                <w:sz w:val="1"/>
                <w:szCs w:val="1"/>
                <w:color w:val="auto"/>
              </w:rPr>
            </w:pPr>
          </w:p>
        </w:tc>
      </w:tr>
      <w:tr>
        <w:trPr>
          <w:trHeight w:val="222"/>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2,100,531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1,212,915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616,693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1,721,790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47,099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49,633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5,748,661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48,841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959,720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385,759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1,154,374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1,225,479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3,774,173</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80,532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121,528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38,964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125,740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42,323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409,997</w:t>
            </w: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453,909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988,828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390,140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1,334,995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1,226,809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4,394,681</w:t>
            </w: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534,441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1,110,356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429,104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1,460,735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910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1,269,132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4,804,678</w:t>
            </w:r>
          </w:p>
        </w:tc>
        <w:tc>
          <w:tcPr>
            <w:tcW w:w="0" w:type="dxa"/>
            <w:vAlign w:val="bottom"/>
          </w:tcPr>
          <w:p>
            <w:pPr>
              <w:spacing w:after="0"/>
              <w:rPr>
                <w:sz w:val="1"/>
                <w:szCs w:val="1"/>
                <w:color w:val="auto"/>
              </w:rPr>
            </w:pPr>
          </w:p>
        </w:tc>
      </w:tr>
      <w:tr>
        <w:trPr>
          <w:trHeight w:val="251"/>
        </w:trPr>
        <w:tc>
          <w:tcPr>
            <w:tcW w:w="2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Redeemable preferred stock</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937,578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152,642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1,090,220</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Non-controlling interests in equity of</w:t>
            </w: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5,996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(174,252)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(4,148)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(167,561)</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subsidiaries</w:t>
            </w:r>
          </w:p>
        </w:tc>
        <w:tc>
          <w:tcPr>
            <w:tcW w:w="1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628,512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102,559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187,589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261,055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46,189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(1,372,141)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(146,237)</w:t>
            </w:r>
          </w:p>
        </w:tc>
        <w:tc>
          <w:tcPr>
            <w:tcW w:w="0" w:type="dxa"/>
            <w:vAlign w:val="bottom"/>
          </w:tcPr>
          <w:p>
            <w:pPr>
              <w:spacing w:after="0"/>
              <w:rPr>
                <w:sz w:val="1"/>
                <w:szCs w:val="1"/>
                <w:color w:val="auto"/>
              </w:rPr>
            </w:pPr>
          </w:p>
        </w:tc>
      </w:tr>
      <w:tr>
        <w:trPr>
          <w:trHeight w:val="129"/>
        </w:trPr>
        <w:tc>
          <w:tcPr>
            <w:tcW w:w="26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Total liabilities, redeemable preferred</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2,100,531</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1,212,915</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616,693</w:t>
            </w:r>
          </w:p>
        </w:tc>
        <w:tc>
          <w:tcPr>
            <w:tcW w:w="1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1,721,790</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47,099</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49,633</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5,748,661</w:t>
            </w:r>
          </w:p>
        </w:tc>
        <w:tc>
          <w:tcPr>
            <w:tcW w:w="0" w:type="dxa"/>
            <w:vAlign w:val="bottom"/>
          </w:tcPr>
          <w:p>
            <w:pPr>
              <w:spacing w:after="0"/>
              <w:rPr>
                <w:sz w:val="1"/>
                <w:szCs w:val="1"/>
                <w:color w:val="auto"/>
              </w:rPr>
            </w:pPr>
          </w:p>
        </w:tc>
      </w:tr>
      <w:tr>
        <w:trPr>
          <w:trHeight w:val="182"/>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stock and equity</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Ports and Terminals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Jefferson</w:t>
            </w:r>
          </w:p>
        </w:tc>
        <w:tc>
          <w:tcPr>
            <w:tcW w:w="18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Repauno</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Power and Gas</w:t>
            </w:r>
          </w:p>
        </w:tc>
        <w:tc>
          <w:tcPr>
            <w:tcW w:w="10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Sustainability and</w:t>
            </w: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Transition</w:t>
            </w:r>
          </w:p>
        </w:tc>
        <w:tc>
          <w:tcPr>
            <w:tcW w:w="22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48,667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154,752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6,756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219,851</w:t>
            </w:r>
          </w:p>
        </w:tc>
        <w:tc>
          <w:tcPr>
            <w:tcW w:w="0" w:type="dxa"/>
            <w:vAlign w:val="bottom"/>
          </w:tcPr>
          <w:p>
            <w:pPr>
              <w:spacing w:after="0"/>
              <w:rPr>
                <w:sz w:val="1"/>
                <w:szCs w:val="1"/>
                <w:color w:val="auto"/>
              </w:rPr>
            </w:pPr>
          </w:p>
        </w:tc>
      </w:tr>
      <w:tr>
        <w:trPr>
          <w:trHeight w:val="202"/>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Non-current assets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662,241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1,118,886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334,882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2,154,537</w:t>
            </w:r>
          </w:p>
        </w:tc>
        <w:tc>
          <w:tcPr>
            <w:tcW w:w="0" w:type="dxa"/>
            <w:vAlign w:val="bottom"/>
          </w:tcPr>
          <w:p>
            <w:pPr>
              <w:spacing w:after="0"/>
              <w:rPr>
                <w:sz w:val="1"/>
                <w:szCs w:val="1"/>
                <w:color w:val="auto"/>
              </w:rPr>
            </w:pPr>
          </w:p>
        </w:tc>
      </w:tr>
      <w:tr>
        <w:trPr>
          <w:trHeight w:val="222"/>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710,908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1,273,638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341,638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24,355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23,727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2,374,388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974,351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44,250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569,234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1,587,835</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131,503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250,794</w:t>
            </w:r>
          </w:p>
        </w:tc>
        <w:tc>
          <w:tcPr>
            <w:tcW w:w="0" w:type="dxa"/>
            <w:vAlign w:val="bottom"/>
          </w:tcPr>
          <w:p>
            <w:pPr>
              <w:spacing w:after="0"/>
              <w:rPr>
                <w:sz w:val="1"/>
                <w:szCs w:val="1"/>
                <w:color w:val="auto"/>
              </w:rPr>
            </w:pPr>
          </w:p>
        </w:tc>
      </w:tr>
      <w:tr>
        <w:trPr>
          <w:trHeight w:val="202"/>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34,348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996,984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47,374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18,240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570,292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1,667,238</w:t>
            </w: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83,214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1,128,487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88,510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21,972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595,829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1,918,032</w:t>
            </w:r>
          </w:p>
        </w:tc>
        <w:tc>
          <w:tcPr>
            <w:tcW w:w="0" w:type="dxa"/>
            <w:vAlign w:val="bottom"/>
          </w:tcPr>
          <w:p>
            <w:pPr>
              <w:spacing w:after="0"/>
              <w:rPr>
                <w:sz w:val="1"/>
                <w:szCs w:val="1"/>
                <w:color w:val="auto"/>
              </w:rPr>
            </w:pPr>
          </w:p>
        </w:tc>
      </w:tr>
      <w:tr>
        <w:trPr>
          <w:trHeight w:val="251"/>
        </w:trPr>
        <w:tc>
          <w:tcPr>
            <w:tcW w:w="2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Redeemable preferred stock</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p>
      <w:pPr>
        <w:spacing w:after="0" w:line="274" w:lineRule="exact"/>
        <w:rPr>
          <w:sz w:val="20"/>
          <w:szCs w:val="20"/>
          <w:color w:val="auto"/>
        </w:rPr>
      </w:pPr>
    </w:p>
    <w:p>
      <w:pPr>
        <w:ind w:left="20" w:right="160"/>
        <w:spacing w:after="0" w:line="256" w:lineRule="auto"/>
        <w:rPr>
          <w:sz w:val="20"/>
          <w:szCs w:val="20"/>
          <w:color w:val="auto"/>
        </w:rPr>
      </w:pPr>
      <w:r>
        <w:rPr>
          <w:rFonts w:ascii="Arial" w:cs="Arial" w:eastAsia="Arial" w:hAnsi="Arial"/>
          <w:sz w:val="14"/>
          <w:szCs w:val="14"/>
          <w:b w:val="1"/>
          <w:bCs w:val="1"/>
          <w:color w:val="auto"/>
        </w:rPr>
        <w:t>Non-controlling interests in equity of consolidated subsidiaries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equity</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b w:val="1"/>
                <w:bCs w:val="1"/>
                <w:color w:val="auto"/>
              </w:rPr>
              <w:t>Total liabilities, redeemable preferred</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20"/>
                <w:szCs w:val="20"/>
                <w:color w:val="auto"/>
              </w:rPr>
            </w:pPr>
            <w:r>
              <w:rPr>
                <w:rFonts w:ascii="Arial" w:cs="Arial" w:eastAsia="Arial" w:hAnsi="Arial"/>
                <w:sz w:val="14"/>
                <w:szCs w:val="14"/>
                <w:b w:val="1"/>
                <w:bCs w:val="1"/>
                <w:color w:val="auto"/>
              </w:rPr>
              <w:t>stock and equity</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4,722</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(130,989)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(127,513)</w:t>
            </w:r>
          </w:p>
        </w:tc>
      </w:tr>
      <w:tr>
        <w:trPr>
          <w:trHeight w:val="207"/>
        </w:trPr>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627,694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145,151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253,128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(21,850)</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24,335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(953,320)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75,138</w:t>
            </w:r>
          </w:p>
        </w:tc>
      </w:tr>
      <w:tr>
        <w:trPr>
          <w:trHeight w:val="291"/>
        </w:trPr>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710,908</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1,273,638</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341,638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4"/>
                <w:szCs w:val="2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24,355</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23,727</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2,374,388</w:t>
            </w:r>
          </w:p>
        </w:tc>
      </w:tr>
      <w:tr>
        <w:trPr>
          <w:trHeight w:val="24"/>
        </w:trPr>
        <w:tc>
          <w:tcPr>
            <w:tcW w:w="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-230505</wp:posOffset>
            </wp:positionV>
            <wp:extent cx="7132320" cy="2311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400"/>
            <w:col w:w="8140"/>
          </w:cols>
          <w:pgMar w:left="320" w:top="1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18. REDEEMABLE PREFERRED STOCK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Series A Preferred Stock - Redeemable Preferred Stock</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1, 2022, the Company issued and sold 300,000 shares of Series A Redeemable Preferred Stock (the “Series A” or “Series A Preferred Stock”) at a price of $1,000 per share and $0.01 par value. The shares were issued at a 3% discount for net proceeds of $291.0 million. The Company also issued two classes of warrants to the preferred stockholders (see Note 19). The fair value of the Series A Preferred Stock and the warrants at issuance were determined to be $242.7 million and $13.8 million, respectively. The Company incurred $16.4 million of issuance costs related to the Series A Preferred Stock and warrants. Additionally, the Company issued options to the Manager with a total fair value of $18.1 million (see Note 16).</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Wheeling Acquisition and Bridge Financing on August 25, 2025 (the “Preferred Redemption Date”), the Company redeemed all of its outstanding 300,000 shares of Series A Preferred Stock at a redemption price equal to approximately $1,490 per share, for an aggregate payment of approximately $447.1 million in cash using a portion of the net proceeds from the Bridge Loan (see Note 8). Following the redemption, all designations, rights, preferences, powers, qualifications, restrictions and imitations of the Series A Preferred Stock terminated and no shares of Series A Preferred Stock remain outstanding. We recognized a loss on extinguishment of $36.6 million for the redemption of Series A Preferred Stock that was recognized as a return of capital through Additional paid in capital on the Consolidated Balance Sheets.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Series B Preferred Stock - Redeemable Convertible Preferred Stock</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February 26, 2025 (the “Issue Date”), the Company issued 160,000 shares of Series B Redeemable Convertible Preferred Stock (the “Series B” or “Series B Preferred Stock”) at a face value of $1,000 per share and $0.01 par value. The shares were issued at par for net consideration of $160.0 million. In connection with the issuance of the Series B Preferred Stock, the Company also issued warrants to the Series A preferred stockholders (see Note 19) and options to the Manager (see Note 16). The Company concluded the fair value of the Series B Preferred Stock was equal to its face value of $160.0 million, and each of the warrants and options had aggregate fair values of $1.0 million and $7.4 million, respectively. In addition to the warrants and options, the Company also paid a consent fee to Series A holders of $1.7 million. As the warrants and consent fee modified the Series A Preferred Stock agreement we treated these as deemed dividends on the Series A.</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Series B Preferred Stock has the following rights, preferences and restrictions: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Voting</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Each holder of the Series B Preferred Stock will have one vote per share on certain matters to which holders of the Series B are entitled to vote separately as a class, whether at a meeting or by written consent. The holders of shares of the Series B Preferred Stock do not otherwise have any voting rights, however, they were provided with a seat on the Company’s Board of Directors at the issuance date.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Liquidation Preference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Series B Preferred Stock ranks senior to the shares of the Company’s common stock, par value $0.01 per share and junior to Series A Preferred Stock, with respect to the payment of dividends and the distribution of assets upon a liquidation, dissolution or winding up of the Company. Each share of Series B Preferred Stock has an initial liquidation preference of $1,000 per share.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Dividends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Holders of the Series B Preferred Stock are entitled to a quarterly compounding, regular dividend equal to 9.00% per annum for any dividend paid in cash with respect to the immediately preceding quarter, and 10.00% per annum for any dividend paid-in-kind, at the Company’s election. For any quarter in which the Company elects not to pay a cash dividend, such dividend will be added to the liquidation preference of each share, as further set forth in the certificate of designations of Series B Convertible Junior Preferred Stock of the Company, which was filed by the Company with the Secretary of State of the State of Delaware and became effective on February 26, 2025.</w:t>
      </w:r>
    </w:p>
    <w:p>
      <w:pPr>
        <w:spacing w:after="0" w:line="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December 31, 2025, the Company has $14.1 million of dividends increasing the liquidation preference on the Series B Preferred Stock. Dividends are not recorded as redemption is not currently expected.</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has presented the Series B Preferred Stock in temporary equity as its redemption is not solely within the Company’s control. However, the Series B Preferred Stock is not currently probable of becoming redeemable; as a result, the issuance costs and PIK dividends are not being accreted in the balance of Series B Preferred Stock on the Consolidated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Redemption</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shall be obligated to repurchase all shares of Series B Preferred Stock upon the consummation of a change of control, at a price per share equal to 102% of the sum of the then-current liquidation preference plus any accrued and unpaid dividends since the end of the most recent dividend period (such sum, the “liquidation value”). Additionally, the Company shall have the right to redeem the Series B Preferred Stock, at any time and from time to time, at a price per share equal to (i) if within the first two years after the Issue Date, (a) an amount in cash that, taken together with any cash dividends paid to the redemption date, would equal 120% of the initial liquidation preference plus (b) 43.75 warrants (each, an “Optional Redemption Warrant”)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and (ii) thereafter, 102% of the then-applicable liquidation value. Each Optional Redemption Warrant shall be exercisable for one share of common stock at an exercise price of $8.18. If the Company issues Optional Redemption Warrants pursuant to an optional redemption, it will enter into a warrant agreement governing the terms of such Optional Redemption Warrant. In each case, the repurchase or redemption of Series B Preferred Stock shall be subject to the condition that no shares of Series A Preferred Stock remain outstanding as of such time.</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the Series B Preferred Stock were redeemed at the option of the Company as of December 31, 2025, it would be redeemable for cash of $192.0 million and 7.0 million Optional Redemption Warrants.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If the Series B Preferred Stock were redeemed due to a change in control as of December 31, 2025, it would be redeemable for $177.6 million.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Conversion Rights and Limitations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Each share of Series B Preferred Stock is convertible by its holder at any time after the Issue Date into, subject to certain limitations described below, a number of shares of common stock equal to (i) the then-applicable liquidation value divided by (ii) the conversion price, initially set at $8.18 per share of common stock and subject to certain customary anti-dilution adjustments. Should the cumulative number of shares of common stock delivered upon conversion of the Series B Preferred Stock and exercise of Optional Redemption Warrants since the Issue Date exceed 22,237,370 shares, or approximately 19.5% of the 113,936,865 shares of common stock outstanding as of February 10, 2025, (the “Share Cap”), all further conversion and exercise consideration will be payable in cash in lieu of shares, calculated based on the volume-weighted average price per share of common stock on the trading day immediately preceding the conversion or exercise date, unless the Company obtains shareholder approval to issue such consideration in shares of common stock. Furthermore, no holder of Series B Preferred Stock or Optional Redemption Warrants may convert any share of Series B Preferred Stock or exercise any Optional Redemption Warrant into shares of common stock if and to the extent that such conversion or exercise would result in such holder beneficially owning in excess of 19.99% of the total number of shares of common stock issued and outstanding immediately following such conversion, determined in accordance with Rule 13d-3 under the Securities Exchange Act of 1934.</w:t>
      </w:r>
    </w:p>
    <w:p>
      <w:pPr>
        <w:spacing w:after="0" w:line="7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If the Series B Preferred Stock were converted at the option of the holder as of December 31, 2025, they would be converted to 21,285,878 shares of common stock. The Company would have no obligation under the Share Cap to pay cash on an optional conversion at December 31, 2025.</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Series A Preferred Stock - RailCo - Redeemable Preferred Stock - Non-Controlling Interest</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25, 2025, RR Holdings issued and sold (i) 1,000,000 shares of Series A Preferred Stock (the “Series A Preferred Stock - RailCo”) and (ii) Series A Warrants (the “Series A Warrants - RailCo”) representing the right to purchase, on the terms and subject to the conditions set forth therein, 172,500 common units of RR Holdings at an exercise price of $857.75 per unit for an aggregate purchase price of $1,000,000,000. The fair value of the Series A Preferred Stock - RailCo at issuance were determined to be $914.2 million</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incurred $20.6 million of issuance costs related to the Series A Preferred Stock - RailCo.</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Series A Preferred Stock - RailCo has the following rights, preferences and restrictions: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Voting</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Upon an event of noncompliance, (a) the size of the board of managers of RR Holdings will automatically increase by a number sufficient to constitute a majority of the Board, (b) the holders of a majority of the Series A Preferred Stock - RailCo will have the right to designate and elect a majority of the members of the board of managers, and (c) other than with respect to the election of managers, the Series A Preferred Stock - RailCo will vote with the common units of RR Holdings as a single class. Upon the exercise of all Series A Warrants – RailCo, holders of a majority of the Series A Warrants – RailCo have the right to designate one manager to the board of managers of RR Holdings, provided that members of Ares Management LLC (“Ares”) continue to own at least 5% of the outstanding common units of RR Holdings.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Liquidation Preference</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Series A Preferred Stock - RailCo ranks senior to the RailCo common units with respect to dividend rights and rights upon the voluntary or involuntary liquidation, dissolution or winding up of the affairs of RR Holdings. Upon a liquidation, dissolution or winding up of the affairs of RR Holdings, each unit of Series A Preferred Stock - RailCo will be entitled to receive an amount per unit equal to the sum of (i) the stated value of such Series A Preferred Stock - RailCo as of liquidation date, which is the sum of (a) $1,000, plus (b) $50 for the Series A Preferred Stock - RailCo Preferred Fee, plus (c) the aggregate compounded distributions), plus (ii) any declared but unpaid distributions on such Series A Preferred Stock - RailCo, plus (iii) the amount of accumulated and unpaid distributions on such Series A Preferred Stock - RailCo from the last distribution payment date to, but not including the liquidation date.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Dividends</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Dividends on the Series A Preferred Stock - RailCo are payable at a rate equal to 10.0% per annum for the first three years following issuance. The rate will be increased to 12.0% per annum following the third anniversary of the issuance date, and then increased to 14.0% following the sixth anniversary of the issuance date and thereafter. The dividend rate on the Series A</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Preferred Stock - RailCo will be (i) increased by 2.0% per annum for any periods after the fifth anniversary following the issuance date where the dividends are not paid in cash and (ii) increased by 2.0% per annum upon an event of noncompliance.</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Prior to the fifth anniversary of the issuance date, such dividends will automatically accrue and accumulate on the Series A Preferred Stock - RailCo, whether or not declared and paid, or they may be paid in cash at the discretion of RR Holdings. Following the fifth anniversary of the issuance date, RR Holdings is required to pay such dividends in cash. Until the fifth anniversary of the issuance date, RR Holdings may make cash dividends on its common units, including distributions that would provide the Company cash to pay its interest payments on its debt.</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2025, the Company has $37.3 million of PIK dividends increasing our Series A Preferred Stock - RailCo balance. Dividends recorded in Dividends and accretion of redeemable preferred stock on the Consolidated Statements of Operations totaled $37.3 million for the year ended December 31, 2025.</w:t>
      </w:r>
    </w:p>
    <w:p>
      <w:pPr>
        <w:spacing w:after="0" w:line="7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has presented the Series A Preferred Stock - RailCo in temporary equity and is accreting the discount and issuance costs using the interest method to the earliest redemption date of August 25, 2032. Such accretion, recorded in Dividends and accretion of redeemable preferred stock on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Operations, totaled $7.3 million for the year ended December 31, 2025.</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Redemption</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Mandatory Redemption</w:t>
      </w:r>
      <w:r>
        <w:rPr>
          <w:rFonts w:ascii="Arial" w:cs="Arial" w:eastAsia="Arial" w:hAnsi="Arial"/>
          <w:sz w:val="16"/>
          <w:szCs w:val="16"/>
          <w:color w:val="auto"/>
        </w:rPr>
        <w:t>: The Series A Preferred Stock - RailCo is mandatorily redeemable upon the occurrence of any (i) sale of the Company, (ii) drag-along sale, (iii) any initial public offering, (iv) any special purpose company acquisition, (v) any direct listing, (vi) any bankruptcy event or (vii) any change in control event (each a “Mandatory Redemption Event”). Upon the occurrence of a Mandatory Redemption Event, to the extent not prohibited by law, RR Holdings will be required to redeem all Series A Preferred Stock - RailCo, Series A Warrants - RailCo and Series A Warrant Units - RailCo in cash.</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From and after the seventh anniversary of the issuance date, to the extent not prohibited by law, holders of a majority of the Series A Preferred Stock – RailCo may request that RR Holdings redeem all (but not less than all) of the Series A Preferred Stock – RailCo units in cash. To the extent the holders of the Series A Preferred Stock - RailCo exercise their rights in accordance with the preceding sentence, RR Holdings will be required to repurchase the corresponding Series A Warrants - RailCo and Series A Warrant Units – RailCo in cash. In the event RR Holdings fails to redeem all of the Series A Preferred Stock - RailCo within 120 days after receiving the redemption demand, the holders of the Series A Preferred Stock - RailCo may force RR Holdings to effect a sale of the company or another transaction constituting a change of control that results in the full redemption of the Series A Preferred Stock - RailCo.</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Optional Redemption: The Series A Preferred Stock - RailCo is redeemable at the option of RR Holdings, at any time and from time to time, at the greater of the (i) liquidation value, and (ii) the base return amount at the date of redemption. The base return amount is, subject to certain exceptions, a monetary amount that returns to the holders of the Series A Preferred Stock - RailCo 1.5 times their investment. If the Series A Preferred Stock - RailCo are redeemed, the Company will also be required to repurchase the corresponding Series A Warrants - RailCo and Series A Warrant Units - RailCo.</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Series A Warrants - RailCo</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25, 2025, the Company issued Series A Warrants - RailCo to the holders of the Series A Preferred Stock - RailCo (see Note 19). The fair value of the Series A Warrants - RailCo at issuance were determined to be $85.8 million (see Note 9 for additional details)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incurred $1.9 million of issuance costs related to the Series A Warrants - RailCo.</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Series A Warrants - RailCo has the following rights, preferences and restrictions: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Voting</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the Series A Warrants - RailCo do not otherwise have any voting rights.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Redemption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Series A Warrants - RailCo are exercisable at the earlier of (i) August 25, 2030 and (ii) the date on which all obligations related to the indebtedness incurred to repay the Bridge Loan have been repaid in full, until, in either case, August 27, 2035. The number of common units pursuant to the Warrants may be adjusted from time to time to account for equity splits, contributions, dividends, below-market insurances of common equity and similar items. Following the sixth anniversary of the issuance date, holders are entitled to require RR Holdings to exchange any or all of its Series A Warrants - RailCo for either (i) cash equal to the fair market value of the warrants on the last business day prior to the exchange or (ii) the number of shares of common stock of the Company with an aggregate current market price on the last trading day prior to the exchange equal to the fair market value of the Series A Warrants - RailCo on such date.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19. EARNINGS PER SHARE AND EQUITY</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Basic earnings (loss) per share of common stock (“LPS”) is calculated by dividing net income (loss) attributable to stockholders, before series B preferred stock dividend and loss on extinguishment of preferred stock by the weighted average number of common stock outstanding. Diluted earnings (loss) per share is calculated by dividing net income (loss) attributable to stockholders, before series B preferred stock dividend and loss on extinguishment of preferred stock by the weighted average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number of common stock outstanding, plus any potentially dilutive securities, if dilutive. Potentially dilutive securities are calculated using the treasury stock method.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loss is presented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(152,054)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(266,064)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(159,750)</w:t>
            </w:r>
          </w:p>
        </w:tc>
        <w:tc>
          <w:tcPr>
            <w:tcW w:w="0" w:type="dxa"/>
            <w:vAlign w:val="bottom"/>
          </w:tcPr>
          <w:p>
            <w:pPr>
              <w:spacing w:after="0"/>
              <w:rPr>
                <w:sz w:val="1"/>
                <w:szCs w:val="1"/>
                <w:color w:val="auto"/>
              </w:rPr>
            </w:pPr>
          </w:p>
        </w:tc>
      </w:tr>
      <w:tr>
        <w:trPr>
          <w:trHeight w:val="195"/>
        </w:trPr>
        <w:tc>
          <w:tcPr>
            <w:tcW w:w="706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(44,880)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(42,419)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(38,414)</w:t>
            </w: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Preferred dividends and accretion on redeemable non-controlling interests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44,607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and accretion of redeemable preferred stock</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55,622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70,814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62,400</w:t>
            </w:r>
          </w:p>
        </w:tc>
        <w:tc>
          <w:tcPr>
            <w:tcW w:w="0" w:type="dxa"/>
            <w:vAlign w:val="bottom"/>
          </w:tcPr>
          <w:p>
            <w:pPr>
              <w:spacing w:after="0"/>
              <w:rPr>
                <w:sz w:val="1"/>
                <w:szCs w:val="1"/>
                <w:color w:val="auto"/>
              </w:rPr>
            </w:pPr>
          </w:p>
        </w:tc>
      </w:tr>
      <w:tr>
        <w:trPr>
          <w:trHeight w:val="134"/>
        </w:trPr>
        <w:tc>
          <w:tcPr>
            <w:tcW w:w="706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Net loss attributable to stockholders, before series B preferred stock dividend and loss on extinguishment of</w:t>
            </w:r>
          </w:p>
        </w:tc>
        <w:tc>
          <w:tcPr>
            <w:tcW w:w="2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(207,403)</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(294,459)</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(183,736)</w:t>
            </w:r>
          </w:p>
        </w:tc>
        <w:tc>
          <w:tcPr>
            <w:tcW w:w="0" w:type="dxa"/>
            <w:vAlign w:val="bottom"/>
          </w:tcPr>
          <w:p>
            <w:pPr>
              <w:spacing w:after="0"/>
              <w:rPr>
                <w:sz w:val="1"/>
                <w:szCs w:val="1"/>
                <w:color w:val="auto"/>
              </w:rPr>
            </w:pPr>
          </w:p>
        </w:tc>
      </w:tr>
      <w:tr>
        <w:trPr>
          <w:trHeight w:val="185"/>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w:t>
            </w:r>
          </w:p>
        </w:tc>
        <w:tc>
          <w:tcPr>
            <w:tcW w:w="2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060" w:type="dxa"/>
            <w:vAlign w:val="bottom"/>
          </w:tcPr>
          <w:p>
            <w:pPr>
              <w:ind w:left="20"/>
              <w:spacing w:after="0"/>
              <w:rPr>
                <w:sz w:val="20"/>
                <w:szCs w:val="20"/>
                <w:color w:val="auto"/>
              </w:rPr>
            </w:pPr>
            <w:r>
              <w:rPr>
                <w:rFonts w:ascii="Arial" w:cs="Arial" w:eastAsia="Arial" w:hAnsi="Arial"/>
                <w:sz w:val="14"/>
                <w:szCs w:val="14"/>
                <w:color w:val="auto"/>
              </w:rPr>
              <w:t>Less: Convertible preferred stock dividend</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14,118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Adjustments attributable to dilutive securities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060" w:type="dxa"/>
            <w:vAlign w:val="bottom"/>
          </w:tcPr>
          <w:p>
            <w:pPr>
              <w:ind w:left="20"/>
              <w:spacing w:after="0"/>
              <w:rPr>
                <w:sz w:val="20"/>
                <w:szCs w:val="20"/>
                <w:color w:val="auto"/>
              </w:rPr>
            </w:pPr>
            <w:r>
              <w:rPr>
                <w:rFonts w:ascii="Arial" w:cs="Arial" w:eastAsia="Arial" w:hAnsi="Arial"/>
                <w:sz w:val="14"/>
                <w:szCs w:val="14"/>
                <w:color w:val="auto"/>
              </w:rPr>
              <w:t>Less: Loss on extinguishment of preferred stock</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36,646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(260,406)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(294,459)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(183,736)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 xml:space="preserve">Weighted Average Common Stock Outstanding - Basic </w:t>
            </w:r>
            <w:r>
              <w:rPr>
                <w:rFonts w:ascii="Arial" w:cs="Arial" w:eastAsia="Arial" w:hAnsi="Arial"/>
                <w:sz w:val="18"/>
                <w:szCs w:val="18"/>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115,214,910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108,217,871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102,960,812</w:t>
            </w: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Weighted Average Common Stock Outstanding - Diluted </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115,214,910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108,217,871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102,960,812</w:t>
            </w: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per share: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60" w:type="dxa"/>
            <w:vAlign w:val="bottom"/>
          </w:tcPr>
          <w:p>
            <w:pPr>
              <w:ind w:left="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(2.24)</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Diluted </w:t>
            </w:r>
            <w:r>
              <w:rPr>
                <w:rFonts w:ascii="Arial" w:cs="Arial" w:eastAsia="Arial" w:hAnsi="Arial"/>
                <w:sz w:val="18"/>
                <w:szCs w:val="18"/>
                <w:color w:val="auto"/>
                <w:vertAlign w:val="superscript"/>
              </w:rPr>
              <w:t>(2)</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34" w:lineRule="exact"/>
        <w:rPr>
          <w:sz w:val="20"/>
          <w:szCs w:val="20"/>
          <w:color w:val="auto"/>
        </w:rPr>
      </w:pPr>
    </w:p>
    <w:p>
      <w:pPr>
        <w:ind w:left="160" w:hanging="152"/>
        <w:spacing w:after="0"/>
        <w:tabs>
          <w:tab w:leader="none" w:pos="16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year ended December 31, 2023 included penny warrants that were converted into common stock during the year ended December 31, 2024.</w:t>
      </w:r>
    </w:p>
    <w:p>
      <w:pPr>
        <w:spacing w:after="0" w:line="57" w:lineRule="exact"/>
        <w:rPr>
          <w:rFonts w:ascii="Arial" w:cs="Arial" w:eastAsia="Arial" w:hAnsi="Arial"/>
          <w:sz w:val="18"/>
          <w:szCs w:val="18"/>
          <w:color w:val="auto"/>
          <w:vertAlign w:val="superscript"/>
        </w:rPr>
      </w:pPr>
    </w:p>
    <w:p>
      <w:pPr>
        <w:ind w:left="180" w:hanging="172"/>
        <w:spacing w:after="0" w:line="228" w:lineRule="auto"/>
        <w:tabs>
          <w:tab w:leader="none" w:pos="172"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Diluted earnings per share for the year ended December 31, 2025 includes the dilutive effect of subsidiary earnings per share and convertible preferred stock. Diluted loss per share for the years ended December 31, 2024 and 2023 includes the dilutive effect of subsidiary earnings per share.</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years ended December 31, 2025, 2024 and 2023, 17,905,958, 2,681,996 and 2,917,041 shares of common stock, respectively, have been excluded from the calculation of Diluted LPS because the impact would be anti-dilutive. For the years ended December 31, 2025, 2024 and 2023, —, — and 3,332,478 of warrants, respectively, have been excluded from the calculation of Diluted LPS because the impact would be anti-dilutive.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Common Stock Warrants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1, 2022, in connection with the Redeemable Preferred Stock raise, the Company issued two classes of warrants to the redeemable preferred stockholders. The Series I Warrants represent the right to purchase 3,342,566 shares of common stock, at an exercise price of $10.00 per share, and the Series II Warrants represent the right to purchase 3,342,566 shares of common stock at an exercise price of $0.01 per share. Both classes of warrants expire on the earlier of August 1, 2030 or a change in control. The Series II Warrants participate on an as-converted basis in any dividends with respect to the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outstanding stock warrants and changes during the year ended December 31, 2025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of Warrants</w:t>
            </w:r>
          </w:p>
        </w:tc>
        <w:tc>
          <w:tcPr>
            <w:tcW w:w="14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784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26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2024</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3,342,566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95"/>
        </w:trPr>
        <w:tc>
          <w:tcPr>
            <w:tcW w:w="7840" w:type="dxa"/>
            <w:vAlign w:val="bottom"/>
          </w:tcPr>
          <w:p>
            <w:pPr>
              <w:ind w:left="140"/>
              <w:spacing w:after="0"/>
              <w:rPr>
                <w:sz w:val="20"/>
                <w:szCs w:val="20"/>
                <w:color w:val="auto"/>
              </w:rPr>
            </w:pPr>
            <w:r>
              <w:rPr>
                <w:rFonts w:ascii="Arial" w:cs="Arial" w:eastAsia="Arial" w:hAnsi="Arial"/>
                <w:sz w:val="14"/>
                <w:szCs w:val="14"/>
                <w:color w:val="auto"/>
              </w:rPr>
              <w:t>Issued</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550,000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Expired</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7840" w:type="dxa"/>
            <w:vAlign w:val="bottom"/>
          </w:tcPr>
          <w:p>
            <w:pPr>
              <w:ind w:left="140"/>
              <w:spacing w:after="0"/>
              <w:rPr>
                <w:sz w:val="20"/>
                <w:szCs w:val="20"/>
                <w:color w:val="auto"/>
              </w:rPr>
            </w:pPr>
            <w:r>
              <w:rPr>
                <w:rFonts w:ascii="Arial" w:cs="Arial" w:eastAsia="Arial" w:hAnsi="Arial"/>
                <w:sz w:val="14"/>
                <w:szCs w:val="14"/>
                <w:color w:val="auto"/>
              </w:rPr>
              <w:t>Exercised</w:t>
            </w:r>
          </w:p>
        </w:tc>
        <w:tc>
          <w:tcPr>
            <w:tcW w:w="1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7840" w:type="dxa"/>
            <w:vAlign w:val="bottom"/>
            <w:tcBorders>
              <w:top w:val="single" w:sz="8" w:color="CCEEFF"/>
            </w:tcBorders>
            <w:shd w:val="clear" w:color="auto" w:fill="CCEEFF"/>
          </w:tcPr>
          <w:p>
            <w:pPr>
              <w:ind w:left="20"/>
              <w:spacing w:after="0" w:line="197" w:lineRule="exact"/>
              <w:rPr>
                <w:sz w:val="20"/>
                <w:szCs w:val="20"/>
                <w:color w:val="auto"/>
              </w:rPr>
            </w:pPr>
            <w:r>
              <w:rPr>
                <w:rFonts w:ascii="Arial" w:cs="Arial" w:eastAsia="Arial" w:hAnsi="Arial"/>
                <w:sz w:val="14"/>
                <w:szCs w:val="14"/>
                <w:color w:val="auto"/>
              </w:rPr>
              <w:t xml:space="preserve">Outstanding as of December 31, 2025 </w:t>
            </w:r>
            <w:r>
              <w:rPr>
                <w:rFonts w:ascii="Arial" w:cs="Arial" w:eastAsia="Arial" w:hAnsi="Arial"/>
                <w:sz w:val="18"/>
                <w:szCs w:val="18"/>
                <w:color w:val="auto"/>
                <w:vertAlign w:val="superscript"/>
              </w:rPr>
              <w:t>(1)</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3,892,566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9.76</w:t>
            </w:r>
          </w:p>
        </w:tc>
        <w:tc>
          <w:tcPr>
            <w:tcW w:w="0" w:type="dxa"/>
            <w:vAlign w:val="bottom"/>
          </w:tcPr>
          <w:p>
            <w:pPr>
              <w:spacing w:after="0"/>
              <w:rPr>
                <w:sz w:val="1"/>
                <w:szCs w:val="1"/>
                <w:color w:val="auto"/>
              </w:rPr>
            </w:pPr>
          </w:p>
        </w:tc>
      </w:tr>
      <w:tr>
        <w:trPr>
          <w:trHeight w:val="236"/>
        </w:trPr>
        <w:tc>
          <w:tcPr>
            <w:tcW w:w="7840" w:type="dxa"/>
            <w:vAlign w:val="bottom"/>
          </w:tcPr>
          <w:p>
            <w:pPr>
              <w:ind w:left="20"/>
              <w:spacing w:after="0"/>
              <w:rPr>
                <w:sz w:val="20"/>
                <w:szCs w:val="20"/>
                <w:color w:val="auto"/>
              </w:rPr>
            </w:pPr>
            <w:r>
              <w:rPr>
                <w:rFonts w:ascii="Arial" w:cs="Arial" w:eastAsia="Arial" w:hAnsi="Arial"/>
                <w:sz w:val="14"/>
                <w:szCs w:val="14"/>
                <w:color w:val="auto"/>
              </w:rPr>
              <w:t xml:space="preserve">Warrants exercisable as of December 31, 2025 </w:t>
            </w:r>
            <w:r>
              <w:rPr>
                <w:rFonts w:ascii="Arial" w:cs="Arial" w:eastAsia="Arial" w:hAnsi="Arial"/>
                <w:sz w:val="18"/>
                <w:szCs w:val="18"/>
                <w:color w:val="auto"/>
                <w:vertAlign w:val="superscript"/>
              </w:rPr>
              <w:t>(1)</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3,892,566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9.76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4" w:lineRule="exact"/>
        <w:rPr>
          <w:sz w:val="20"/>
          <w:szCs w:val="20"/>
          <w:color w:val="auto"/>
        </w:rPr>
      </w:pPr>
    </w:p>
    <w:p>
      <w:pPr>
        <w:ind w:left="160" w:hanging="152"/>
        <w:spacing w:after="0"/>
        <w:tabs>
          <w:tab w:leader="none" w:pos="16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Weighted average exercise price as of December 31, 2025 includes adjustments for quarterly dividend payments.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19" w:lineRule="exact"/>
        <w:rPr>
          <w:rFonts w:ascii="Arial" w:cs="Arial" w:eastAsia="Arial" w:hAnsi="Arial"/>
          <w:sz w:val="18"/>
          <w:szCs w:val="18"/>
          <w:color w:val="auto"/>
          <w:vertAlign w:val="superscript"/>
        </w:rPr>
      </w:pPr>
    </w:p>
    <w:p>
      <w:pPr>
        <w:ind w:left="5500"/>
        <w:spacing w:after="0"/>
        <w:rPr>
          <w:rFonts w:ascii="Arial" w:cs="Arial" w:eastAsia="Arial" w:hAnsi="Arial"/>
          <w:sz w:val="18"/>
          <w:szCs w:val="18"/>
          <w:color w:val="auto"/>
          <w:vertAlign w:val="superscript"/>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22, 2024, Ares exercised their rights to the Series II Warrants in full to purchase 3,342,566 shares of common stock of the Company at the exercise price of $0.01 per share pursuant to the Warrant Agreement, dated August 1, 2022.</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February 26, 2025, the Company and Ares amended and restated the warrant agreement, initially dated as of August 1, 2022. As part of the consent fee for the Series A Amendment, the Company issued 550,000 Series A Warrants to entities affiliated with Ares. The warrants have an exercise price of $10.00 per share.</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25, 2025, in connection with the Wheeling Acquisition, RR Holdings issued 172,500 Series A Warrants - RailCo to entities affiliated with Ares for the right to purchase 172,500 common units of RR Holdings at an initial exercise price of $857.748 per unit, as adjusted from time to time as provided by Wheeling Purchase Agreement. The Series A Warrants - RailCo can be exercised at the earlier of (i) August 25, 2030 and (ii) the date on which all obligations related to the indebtedness incurred to repay the Bridge Loan have been repaid in full, until, in either case, August 27, 2035.</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weighted average remaining contractual term of the outstanding warrants as of December 31, 2025 is 4.6 years. The aggregate intrinsic value of the warrants as of December 31, 2025 is $— million.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20. COMMITMENTS AND CONTINGENCIES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w:t>
      </w:r>
    </w:p>
    <w:p>
      <w:pPr>
        <w:spacing w:after="0" w:line="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also have entered into an arrangement with our non-controlling interest holder of Repauno, as part of the initial acquisition, whereby the non-controlling interest holder may receive additional payments contingent upon the achievement of certain conditions, not to exceed $15.0 million. We will account for such amounts when and if such conditions are achieved. The contingency related to $5.0 million of the total $15.0 million was resolved and paid during the year ended December 31, 2021, and the contingency related to an additional $5.0 million of the total $15.0 million was resolved and paid during the year ended December 31, 2022.</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21. SUBSEQUENT EVENTS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June 2025 Jefferson Credit Agreement Extension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 January 2026, Jefferson Terminal exercised its option to extend the maturity of its June 2025 Jefferson Credit Agreement to August 31, 2026.</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Wheeling Lease Financing</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January 2026, Wheeling entered into an agreement with Bank of Montreal (“BMO”) to finance the lease of 400 railcars. Proceeds from the transaction were $50.0 million and accounted for as a financing liability through Other liabilities on the Consolidated Balance Sheets.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Long Ridge Derivative Letters of Credit Extensions</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February 2026, Long Ridge extended the maturity of its $10.0 million and $1.0 million letters of credit, provided to electricity swap counterparties, through February 28, 2028 and February 10, 2027,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Bridge Loan Credit Agreement Refinancing</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February 25, 2026, we entered into a credit agreement (the “Term Loan Credit Agreement”), which provides for a $1.35 billion secured term loan facility (the “Term Loan”). The Term Loan will mature on February 1, 2028 and accrue interest at a rate of 9.75% per annum. On February 26, 2026, $1,314.6 million of the Term Loan was funded, and the remaining $35.4 million was funded on March 10, 2026.</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used the net proceeds from the Term Loan to repay in full all outstanding principal and interest (together with fees, expenses and other amounts owed in connection therewith) under the Bridge Loan Credit Agreement. The Company also used a portion of the net proceeds from the Term Loan to repay the June 2025 Jefferson Credit Agreement in full.</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connection with the Term Loan, the Company and certain of its subsidiaries provided a first-priority security interest in substantially all of their respective assets, subject to customary exceptions and exclusions.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We incurred $43.0 million of issuance costs related to the Term Loan Credit Agreement.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Refer to the Company’s Form 8-K which was filed with the Securities and Exchange Commission on February 26, 2026 for additional detail.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Jefferson Terminal Backstop Agreement</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March 16, 2026, Jefferson Terminal signed a commitment letter for a Senior Secured Bridge Facility, pursuant to which the Company may, at its sole option, on or prior to July 1, 2026, elect to borrow from a lender funds in an aggregate principal amount of $255 million pursuant to a bridge facility that will have a maturity date which is 364 days after the close of such bridge facility. If utilized, the proceeds received would be required to be used to repurchase or redeem all outstanding Jefferson Taxable Series 2024B Bonds due July 1, 2026 to the extent that they have not been refinanced by long-term financing at that time.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00497F"/>
        </w:rPr>
        <w:t>FTAI INFRASTRUCTURE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Dividends</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On February 26, 2026, our board of directors declared a cash dividend on our common stock of $0.03 per share for the quarter ended December 31, 2025, payable on April 1, 2026 to the holders of record on March 13, 2026.</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00497F"/>
        </w:rPr>
        <w:t>Item 9. Changes in and Disagreements with Accountants on Accounting and Financial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9A.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as amended (the “Exchange Act”)). Based upon that evaluation, the Company’s Chief Executive Officer and Chief Financial Officer have concluded that these disclosure controls and procedures were effective as of and for the period covered by this report.</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Management's Annual Report on Internal Control over Financial Reporting</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pertain to the maintenance of records that, in reasonable detail, accurately and fairly reflect our transactions and our dispositions of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and use or disposition of our assets that could have a material effect on the financial statements.</w:t>
      </w:r>
    </w:p>
    <w:p>
      <w:pPr>
        <w:spacing w:after="0" w:line="7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February 26, 2025, we completed the acquisition of Long Ridge Energy &amp; Power LLC. Our management is in the process of reviewing the operations of Long Ridge Energy &amp; Power LLC, and integrating its controls into our internal control structure. In accordance with SEC guidance permitting a company to exclude an acquired business from management’s assessment of the effectiveness of internal control over financial reporting for the year in which the acquisition is completed, we have excluded Long Ridge Energy &amp; Power LLC from our assessment of the effectiveness of internal control over financial reporting as of December 31, 2025. Long Ridge Energy &amp; Power LLC represented approximately 30% of our total assets, 36% of our total revenues and 64% of our net income as of and for the year ended December 31, 2025.</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December 26, 2025, we completed the acquisition of The Wheeling Corporation. Our management is in the process of reviewing the operations of The Wheeling Corporation, and integrating its controls into our internal control structure. In accordance with SEC guidance permitting a company to exclude an acquired business from management’s assessment of the effectiveness of internal control over financial reporting for the year in which the acquisition is completed, we have excluded The Wheeling Corporation from our assessment of the effectiveness of internal control over financial reporting as of December 31, 2025. The Wheeling Corporation represented approximately 24% of our total assets, 0.5% of our total revenues and 0.1% of our net loss as of and for the year ended December 31, 2025.</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2025. In making this assessment, management used the criteria set forth by the Committee of Sponsoring Organizations of the Treadway Commission in Internal Control - Integrated Framework (2013). Based on management’s assessment using this framework, management concluded that, as of December 31, 2025, our internal control over financial reporting was effective.</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effectiveness of the Company’s internal control over financial reporting as of December 31, 2025 has been audited by Ernst &amp; Young LLP, an independent registered public accounting firm, as stated in their report included herein.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Changes in Internal Control over Financial Reporting</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was no change in the Company’s internal control over financial reporting (as defined in Rule 13a-15(f) under the Exchange Act) during its most recent fiscal quarter that has materially affected, or is reasonably likely to materially affect, its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7" w:name="page118"/>
    <w:bookmarkEnd w:id="117"/>
    <w:p>
      <w:pPr>
        <w:ind w:right="3380" w:firstLine="3379"/>
        <w:spacing w:after="0" w:line="39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Stockholders and the Board of Directors of FTAI Infrastructure Inc. </w:t>
      </w:r>
      <w:r>
        <w:rPr>
          <w:rFonts w:ascii="Arial" w:cs="Arial" w:eastAsia="Arial" w:hAnsi="Arial"/>
          <w:sz w:val="16"/>
          <w:szCs w:val="16"/>
          <w:b w:val="1"/>
          <w:bCs w:val="1"/>
          <w:color w:val="auto"/>
        </w:rPr>
        <w:t>Opinion on Internal Control Over Financial Reporting</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audited FTAI Infrastructure Inc.’s internal control over financial reporting as of December 31, 2025, based on criteria established in Internal Control —Integrated Framework issued by the Committee of Sponsoring Organizations of the Treadway Commission (2013 framework) (the COSO criteria). In our opinion, FTAI Infrastructure Inc. (the Company) maintained, in all material respects, effective internal control over financial reporting as of December 31, 2025, based on the COSO criteria.</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indicated in Management’s Annual Report on Internal Control over Financial Reporting, management’s assessment of and conclusion on the effectiveness of internal control over financial reporting did not include the internal controls of Long Ridge Energy &amp; Power LLC and The Wheeling Corporation, which are included in the 2025 consolidated financial statements of the Company and constituted 30% and 24% of total assets, respectively, as of December 31, 2025 and 36% and 0.5% of total revenues and 64% and 0.1% of net income and loss, respectively, for the year then ended. Our audit of internal control over financial reporting of the Company also did not include an evaluation of the internal control over financial reporting of Long Ridge Energy &amp; Power LLC and The Wheeling Corporation</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income, changes in equity and cash flows for each of the three years in the period ended December 31, 2025, and the related notes and our report dated March 16, 2026 expressed an unqualified opinion thereon.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16, 2026</w:t>
      </w:r>
    </w:p>
    <w:p>
      <w:pPr>
        <w:sectPr>
          <w:pgSz w:w="11900" w:h="16838" w:orient="portrait"/>
          <w:cols w:equalWidth="0" w:num="1">
            <w:col w:w="11240"/>
          </w:cols>
          <w:pgMar w:left="320" w:top="13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b w:val="1"/>
          <w:bCs w:val="1"/>
          <w:color w:val="00497F"/>
        </w:rPr>
        <w:t>Item 9B.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9C. Disclosure Regarding Foreign Jurisdictions that Prevent Inspections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4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00497F"/>
        </w:rPr>
        <w:t>PART III—OTHER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10. Directors, Executive Officers and Corporate Governance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Any information required by this Item 10 is incorporated by reference to our definitive proxy statement for the 2026 annual meeting of stockholders to be filed with the SEC pursuant to Regulation 14A within 120 days after the fiscal year ended December 31, 2025 (our “Definitive Proxy Statement”) under the headings “Proposal No. 1 Election of Directors” and “Executive Officers.”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11. Executive Compensation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information required by this Item 11 is incorporated by reference to our Definitive Proxy Statement under the headings “Executive and Manager Compensation,” “Compensation Committee Report” and “Proposal No. 1 Election of Directors—Compensation of Directors.”</w:t>
      </w:r>
    </w:p>
    <w:p>
      <w:pPr>
        <w:spacing w:after="0" w:line="61" w:lineRule="exact"/>
        <w:rPr>
          <w:sz w:val="20"/>
          <w:szCs w:val="20"/>
          <w:color w:val="auto"/>
        </w:rPr>
      </w:pPr>
    </w:p>
    <w:p>
      <w:pPr>
        <w:ind w:right="2880"/>
        <w:spacing w:after="0" w:line="387" w:lineRule="auto"/>
        <w:rPr>
          <w:sz w:val="20"/>
          <w:szCs w:val="20"/>
          <w:color w:val="auto"/>
        </w:rPr>
      </w:pPr>
      <w:r>
        <w:rPr>
          <w:rFonts w:ascii="Arial" w:cs="Arial" w:eastAsia="Arial" w:hAnsi="Arial"/>
          <w:sz w:val="16"/>
          <w:szCs w:val="16"/>
          <w:b w:val="1"/>
          <w:bCs w:val="1"/>
          <w:color w:val="00497F"/>
        </w:rPr>
        <w:t>Item 12. Security Ownership of Certain Beneficial Owners and Management and Related Stockholder Matters Nonqualified Stock Option and Incentive Award Plan</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August 1, 2022, in connection with the spin-off,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 As of December 31, 2025, the Incentive Plan provides for the issuance of up to 30.0 million shares.</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total number of outstanding securities in the Incentive Plan and the number of securities remaining for future issuance, as well as the weighted average strike price of all outstanding securities as of December 31,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Equity Compensation Plan Information</w:t>
            </w:r>
          </w:p>
        </w:tc>
        <w:tc>
          <w:tcPr>
            <w:tcW w:w="2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 securities to be issued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Weighted-average exercise price of</w:t>
            </w:r>
          </w:p>
        </w:tc>
        <w:tc>
          <w:tcPr>
            <w:tcW w:w="2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37"/>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1"/>
                <w:szCs w:val="11"/>
                <w:color w:val="auto"/>
              </w:rPr>
            </w:pPr>
          </w:p>
        </w:tc>
        <w:tc>
          <w:tcPr>
            <w:tcW w:w="26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upon exercise of outstanding options,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jc w:val="center"/>
              <w:ind w:right="200"/>
              <w:spacing w:after="0" w:line="137" w:lineRule="exact"/>
              <w:rPr>
                <w:sz w:val="20"/>
                <w:szCs w:val="20"/>
                <w:color w:val="auto"/>
              </w:rPr>
            </w:pPr>
            <w:r>
              <w:rPr>
                <w:rFonts w:ascii="Arial" w:cs="Arial" w:eastAsia="Arial" w:hAnsi="Arial"/>
                <w:sz w:val="14"/>
                <w:szCs w:val="14"/>
                <w:b w:val="1"/>
                <w:bCs w:val="1"/>
                <w:color w:val="auto"/>
              </w:rPr>
              <w:t>outstanding options, warrants, and</w:t>
            </w:r>
          </w:p>
        </w:tc>
        <w:tc>
          <w:tcPr>
            <w:tcW w:w="28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201"/>
        </w:trPr>
        <w:tc>
          <w:tcPr>
            <w:tcW w:w="2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rights</w:t>
            </w:r>
          </w:p>
        </w:tc>
        <w:tc>
          <w:tcPr>
            <w:tcW w:w="120" w:type="dxa"/>
            <w:vAlign w:val="bottom"/>
            <w:tcBorders>
              <w:bottom w:val="single" w:sz="8" w:color="CCEEFF"/>
            </w:tcBorders>
          </w:tcPr>
          <w:p>
            <w:pPr>
              <w:spacing w:after="0"/>
              <w:rPr>
                <w:sz w:val="17"/>
                <w:szCs w:val="17"/>
                <w:color w:val="auto"/>
              </w:rPr>
            </w:pPr>
          </w:p>
        </w:tc>
        <w:tc>
          <w:tcPr>
            <w:tcW w:w="28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rPr>
              <w:t xml:space="preserve">compensation plans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2"/>
        </w:trPr>
        <w:tc>
          <w:tcPr>
            <w:tcW w:w="28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Equity compensation plans approved by</w:t>
            </w:r>
          </w:p>
        </w:tc>
        <w:tc>
          <w:tcPr>
            <w:tcW w:w="2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2,867,048</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2"/>
                <w:szCs w:val="12"/>
                <w:color w:val="auto"/>
              </w:rPr>
            </w:pPr>
          </w:p>
        </w:tc>
        <w:tc>
          <w:tcPr>
            <w:tcW w:w="2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24,813,729</w:t>
            </w:r>
          </w:p>
        </w:tc>
        <w:tc>
          <w:tcPr>
            <w:tcW w:w="0" w:type="dxa"/>
            <w:vAlign w:val="bottom"/>
          </w:tcPr>
          <w:p>
            <w:pPr>
              <w:spacing w:after="0"/>
              <w:rPr>
                <w:sz w:val="1"/>
                <w:szCs w:val="1"/>
                <w:color w:val="auto"/>
              </w:rPr>
            </w:pPr>
          </w:p>
        </w:tc>
      </w:tr>
      <w:tr>
        <w:trPr>
          <w:trHeight w:val="18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security holders</w:t>
            </w:r>
          </w:p>
        </w:tc>
        <w:tc>
          <w:tcPr>
            <w:tcW w:w="266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2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Equity compensation plans not approved</w:t>
            </w:r>
          </w:p>
        </w:tc>
        <w:tc>
          <w:tcPr>
            <w:tcW w:w="2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by security holders</w:t>
            </w:r>
          </w:p>
        </w:tc>
        <w:tc>
          <w:tcPr>
            <w:tcW w:w="2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gridSpan w:val="2"/>
            <w:vMerge w:val="continue"/>
          </w:tcPr>
          <w:p>
            <w:pPr>
              <w:spacing w:after="0"/>
              <w:rPr>
                <w:sz w:val="16"/>
                <w:szCs w:val="16"/>
                <w:color w:val="auto"/>
              </w:rPr>
            </w:pPr>
          </w:p>
        </w:tc>
        <w:tc>
          <w:tcPr>
            <w:tcW w:w="2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2,867,048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24,813,729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64" w:lineRule="exact"/>
        <w:rPr>
          <w:sz w:val="20"/>
          <w:szCs w:val="20"/>
          <w:color w:val="auto"/>
        </w:rPr>
      </w:pPr>
    </w:p>
    <w:p>
      <w:pPr>
        <w:ind w:left="140" w:hanging="132"/>
        <w:spacing w:after="0"/>
        <w:tabs>
          <w:tab w:leader="none" w:pos="140" w:val="left"/>
        </w:tabs>
        <w:numPr>
          <w:ilvl w:val="0"/>
          <w:numId w:val="53"/>
        </w:numPr>
        <w:rPr>
          <w:rFonts w:ascii="Arial" w:cs="Arial" w:eastAsia="Arial" w:hAnsi="Arial"/>
          <w:sz w:val="16"/>
          <w:szCs w:val="16"/>
          <w:color w:val="auto"/>
          <w:vertAlign w:val="superscript"/>
        </w:rPr>
      </w:pPr>
      <w:r>
        <w:rPr>
          <w:rFonts w:ascii="Arial" w:cs="Arial" w:eastAsia="Arial" w:hAnsi="Arial"/>
          <w:sz w:val="12"/>
          <w:szCs w:val="12"/>
          <w:color w:val="auto"/>
        </w:rPr>
        <w:t>Excludes 15,000 stock options and 81,673 common shares issued to directors as compensation.</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information required by this Item 12 is incorporated by reference to our Definitive Proxy Statement under the heading “Security Ownership of Management and Certain Beneficial Owners.” See also “Market for Registrant’s Common Equity, Related Stockholder Matters, and Issuer Purchases of Equity Securities” which is incorporated herein by reference.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13. Certain Relationships and Related Transactions, and Director Independence</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information required by this Item 13 is incorporated by reference to our Definitive Proxy Statement under the headings “Proposal No. 1 Election of Directors—Determination of Director Independence” and “Certain Relationships and Related Transactions.”</w:t>
      </w:r>
    </w:p>
    <w:p>
      <w:pPr>
        <w:spacing w:after="0" w:line="33"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00497F"/>
        </w:rPr>
        <w:t>Item 14.</w:t>
        <w:tab/>
        <w:t>Principal Accountant Fees and Services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information required by this Item 14 is incorporated by reference to our Definitive Proxy Statement under the heading “Proposal No. 2 Approval of Appointment of Ernst &amp; Young LLP as Independent Registered Public Accounting Firm—Principal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9" w:name="page120"/>
    <w:bookmarkEnd w:id="119"/>
    <w:p>
      <w:pPr>
        <w:jc w:val="center"/>
        <w:ind w:right="-79"/>
        <w:spacing w:after="0"/>
        <w:rPr>
          <w:sz w:val="20"/>
          <w:szCs w:val="20"/>
          <w:color w:val="auto"/>
        </w:rPr>
      </w:pPr>
      <w:r>
        <w:rPr>
          <w:rFonts w:ascii="Arial" w:cs="Arial" w:eastAsia="Arial" w:hAnsi="Arial"/>
          <w:sz w:val="16"/>
          <w:szCs w:val="16"/>
          <w:b w:val="1"/>
          <w:bCs w:val="1"/>
          <w:color w:val="00497F"/>
        </w:rPr>
        <w:t>PART IV</w:t>
      </w:r>
    </w:p>
    <w:p>
      <w:pPr>
        <w:spacing w:after="0" w:line="113"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00497F"/>
        </w:rPr>
        <w:t>Item 15.</w:t>
      </w:r>
      <w:r>
        <w:rPr>
          <w:sz w:val="20"/>
          <w:szCs w:val="20"/>
          <w:color w:val="auto"/>
        </w:rPr>
        <w:tab/>
      </w:r>
      <w:r>
        <w:rPr>
          <w:rFonts w:ascii="Arial" w:cs="Arial" w:eastAsia="Arial" w:hAnsi="Arial"/>
          <w:sz w:val="15"/>
          <w:szCs w:val="15"/>
          <w:b w:val="1"/>
          <w:bCs w:val="1"/>
          <w:color w:val="00497F"/>
        </w:rPr>
        <w:t>Exhibits</w:t>
      </w:r>
    </w:p>
    <w:p>
      <w:pPr>
        <w:spacing w:after="0" w:line="172" w:lineRule="exact"/>
        <w:rPr>
          <w:sz w:val="20"/>
          <w:szCs w:val="20"/>
          <w:color w:val="auto"/>
        </w:rPr>
      </w:pPr>
    </w:p>
    <w:p>
      <w:pPr>
        <w:ind w:left="580"/>
        <w:spacing w:after="0"/>
        <w:tabs>
          <w:tab w:leader="none" w:pos="59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98030" cy="2228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98030" cy="222885"/>
                    </a:xfrm>
                    <a:prstGeom prst="rect">
                      <a:avLst/>
                    </a:prstGeom>
                    <a:noFill/>
                  </pic:spPr>
                </pic:pic>
              </a:graphicData>
            </a:graphic>
          </wp:anchor>
        </w:drawing>
      </w:r>
    </w:p>
    <w:p>
      <w:pPr>
        <w:spacing w:after="0" w:line="35" w:lineRule="exact"/>
        <w:rPr>
          <w:sz w:val="20"/>
          <w:szCs w:val="20"/>
          <w:color w:val="auto"/>
        </w:rPr>
      </w:pPr>
    </w:p>
    <w:p>
      <w:pPr>
        <w:ind w:left="1520" w:hanging="1494"/>
        <w:spacing w:after="0" w:line="244" w:lineRule="auto"/>
        <w:tabs>
          <w:tab w:leader="none" w:pos="1149" w:val="left"/>
        </w:tabs>
        <w:numPr>
          <w:ilvl w:val="0"/>
          <w:numId w:val="54"/>
        </w:numPr>
        <w:rPr>
          <w:rFonts w:ascii="Arial" w:cs="Arial" w:eastAsia="Arial" w:hAnsi="Arial"/>
          <w:sz w:val="14"/>
          <w:szCs w:val="14"/>
          <w:color w:val="0000FF"/>
        </w:rPr>
      </w:pPr>
      <w:hyperlink r:id="rId161">
        <w:r>
          <w:rPr>
            <w:rFonts w:ascii="Arial" w:cs="Arial" w:eastAsia="Arial" w:hAnsi="Arial"/>
            <w:sz w:val="14"/>
            <w:szCs w:val="14"/>
            <w:u w:val="single" w:color="auto"/>
            <w:color w:val="0000FF"/>
          </w:rPr>
          <w:t>2.1</w:t>
        </w:r>
        <w:r>
          <w:rPr>
            <w:rFonts w:ascii="Arial" w:cs="Arial" w:eastAsia="Arial" w:hAnsi="Arial"/>
            <w:sz w:val="14"/>
            <w:szCs w:val="14"/>
            <w:color w:val="0000FF"/>
          </w:rPr>
          <w:t xml:space="preserve"> </w:t>
        </w:r>
      </w:hyperlink>
      <w:r>
        <w:rPr>
          <w:rFonts w:ascii="Arial" w:cs="Arial" w:eastAsia="Arial" w:hAnsi="Arial"/>
          <w:sz w:val="14"/>
          <w:szCs w:val="14"/>
          <w:color w:val="000000"/>
        </w:rPr>
        <w:t>Separation</w:t>
      </w:r>
      <w:r>
        <w:rPr>
          <w:rFonts w:ascii="Arial" w:cs="Arial" w:eastAsia="Arial" w:hAnsi="Arial"/>
          <w:sz w:val="14"/>
          <w:szCs w:val="14"/>
          <w:color w:val="0000FF"/>
        </w:rPr>
        <w:t xml:space="preserve"> </w:t>
      </w:r>
      <w:r>
        <w:rPr>
          <w:rFonts w:ascii="Arial" w:cs="Arial" w:eastAsia="Arial" w:hAnsi="Arial"/>
          <w:sz w:val="14"/>
          <w:szCs w:val="14"/>
          <w:color w:val="000000"/>
        </w:rPr>
        <w:t>and Distribution Agreement, dated as of August 1, 2022, between FTAI Infrastructure Inc. and Fortress Transportation and Infrastructure</w:t>
      </w:r>
      <w:r>
        <w:rPr>
          <w:rFonts w:ascii="Arial" w:cs="Arial" w:eastAsia="Arial" w:hAnsi="Arial"/>
          <w:sz w:val="14"/>
          <w:szCs w:val="14"/>
          <w:color w:val="0000FF"/>
        </w:rPr>
        <w:t xml:space="preserve"> </w:t>
      </w:r>
      <w:r>
        <w:rPr>
          <w:rFonts w:ascii="Arial" w:cs="Arial" w:eastAsia="Arial" w:hAnsi="Arial"/>
          <w:sz w:val="14"/>
          <w:szCs w:val="14"/>
          <w:color w:val="000000"/>
        </w:rPr>
        <w:t>Investors LLC (incorporated by reference to Exhibit 2.1 of the Company’s Current Report on Form 8-K, filed August 1, 2022).</w:t>
      </w:r>
    </w:p>
    <w:p>
      <w:pPr>
        <w:ind w:left="1140"/>
        <w:spacing w:after="0" w:line="237" w:lineRule="auto"/>
        <w:tabs>
          <w:tab w:leader="none" w:pos="1500" w:val="left"/>
        </w:tabs>
        <w:rPr>
          <w:rFonts w:ascii="Arial" w:cs="Arial" w:eastAsia="Arial" w:hAnsi="Arial"/>
          <w:sz w:val="14"/>
          <w:szCs w:val="14"/>
          <w:color w:val="0000FF"/>
        </w:rPr>
      </w:pPr>
      <w:hyperlink r:id="rId162">
        <w:r>
          <w:rPr>
            <w:rFonts w:ascii="Arial" w:cs="Arial" w:eastAsia="Arial" w:hAnsi="Arial"/>
            <w:sz w:val="14"/>
            <w:szCs w:val="14"/>
            <w:u w:val="single" w:color="auto"/>
            <w:color w:val="0000FF"/>
          </w:rPr>
          <w:t>2.2</w:t>
        </w:r>
      </w:hyperlink>
      <w:r>
        <w:rPr>
          <w:rFonts w:ascii="Arial" w:cs="Arial" w:eastAsia="Arial" w:hAnsi="Arial"/>
          <w:sz w:val="14"/>
          <w:szCs w:val="14"/>
          <w:color w:val="0000FF"/>
        </w:rPr>
        <w:tab/>
        <w:t>Purchase Agreement, dated as of February 26, 2025, by and among FTAI Infrastructure Inc., Ohio River Partners Holdco LLC and Long Ridge Energy</w:t>
      </w:r>
    </w:p>
    <w:p>
      <w:pPr>
        <w:ind w:left="1520"/>
        <w:spacing w:after="0" w:line="244" w:lineRule="auto"/>
        <w:rPr>
          <w:sz w:val="20"/>
          <w:szCs w:val="20"/>
          <w:color w:val="auto"/>
        </w:rPr>
      </w:pPr>
      <w:r>
        <w:rPr>
          <w:rFonts w:ascii="Arial" w:cs="Arial" w:eastAsia="Arial" w:hAnsi="Arial"/>
          <w:sz w:val="14"/>
          <w:szCs w:val="14"/>
          <w:color w:val="auto"/>
        </w:rPr>
        <w:t>&amp; Power LLC, and Labor Impact Fund, L.P., Labor Impact Feeder Fund, L.P., Labor Impact Real Estate (Cayman) Holdings, L.P. and LIF LR Holdings LLC (incorporated by reference to Exhibit 2.1 of the Company’s Current Report on Form 8-K, filed February 27, 2025).</w:t>
      </w:r>
    </w:p>
    <w:p>
      <w:pPr>
        <w:spacing w:after="0" w:line="9" w:lineRule="exact"/>
        <w:rPr>
          <w:sz w:val="20"/>
          <w:szCs w:val="20"/>
          <w:color w:val="auto"/>
        </w:rPr>
      </w:pPr>
    </w:p>
    <w:p>
      <w:pPr>
        <w:ind w:left="1140" w:hanging="1485"/>
        <w:spacing w:after="0" w:line="244" w:lineRule="auto"/>
        <w:rPr>
          <w:rFonts w:ascii="Arial" w:cs="Arial" w:eastAsia="Arial" w:hAnsi="Arial"/>
          <w:sz w:val="14"/>
          <w:szCs w:val="14"/>
          <w:u w:val="single" w:color="auto"/>
          <w:color w:val="0000FF"/>
        </w:rPr>
      </w:pPr>
      <w:r>
        <w:rPr>
          <w:rFonts w:ascii="Arial" w:cs="Arial" w:eastAsia="Arial" w:hAnsi="Arial"/>
          <w:sz w:val="14"/>
          <w:szCs w:val="14"/>
          <w:i w:val="1"/>
          <w:iCs w:val="1"/>
          <w:color w:val="auto"/>
        </w:rPr>
        <w:t>*</w:t>
      </w:r>
      <w:hyperlink r:id="rId163">
        <w:r>
          <w:rPr>
            <w:rFonts w:ascii="Arial" w:cs="Arial" w:eastAsia="Arial" w:hAnsi="Arial"/>
            <w:sz w:val="14"/>
            <w:szCs w:val="14"/>
            <w:u w:val="single" w:color="auto"/>
            <w:color w:val="0000FF"/>
          </w:rPr>
          <w:t xml:space="preserve">2.3 </w:t>
        </w:r>
      </w:hyperlink>
      <w:r>
        <w:rPr>
          <w:rFonts w:ascii="Arial" w:cs="Arial" w:eastAsia="Arial" w:hAnsi="Arial"/>
          <w:sz w:val="14"/>
          <w:szCs w:val="14"/>
          <w:color w:val="000000"/>
        </w:rPr>
        <w:t>Stock</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Purchase Agreement, dated as of August 6, 2025, between Percy Acquisition LLC and WLE Management Partners, L.P. (incorporated by</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reference to Exhibit 10.1 of the Company’s Current Report on Form 8-K, filed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098030" cy="2146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ind w:left="1140"/>
        <w:spacing w:after="0"/>
        <w:tabs>
          <w:tab w:leader="none" w:pos="1500" w:val="left"/>
        </w:tabs>
        <w:rPr>
          <w:rFonts w:ascii="Arial" w:cs="Arial" w:eastAsia="Arial" w:hAnsi="Arial"/>
          <w:sz w:val="14"/>
          <w:szCs w:val="14"/>
          <w:color w:val="0000FF"/>
        </w:rPr>
      </w:pPr>
      <w:hyperlink r:id="rId165">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Conversion (incorporated by reference to Exhibit 3.1 of the Company’s Current Report on Form 8-K, filed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98030" cy="214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22" w:lineRule="exact"/>
        <w:rPr>
          <w:sz w:val="20"/>
          <w:szCs w:val="20"/>
          <w:color w:val="auto"/>
        </w:rPr>
      </w:pPr>
    </w:p>
    <w:p>
      <w:pPr>
        <w:ind w:left="1520" w:hanging="370"/>
        <w:spacing w:after="0" w:line="244" w:lineRule="auto"/>
        <w:tabs>
          <w:tab w:leader="none" w:pos="1500" w:val="left"/>
        </w:tabs>
        <w:rPr>
          <w:rFonts w:ascii="Arial" w:cs="Arial" w:eastAsia="Arial" w:hAnsi="Arial"/>
          <w:sz w:val="14"/>
          <w:szCs w:val="14"/>
          <w:color w:val="0000FF"/>
        </w:rPr>
      </w:pPr>
      <w:hyperlink r:id="rId167">
        <w:r>
          <w:rPr>
            <w:rFonts w:ascii="Arial" w:cs="Arial" w:eastAsia="Arial" w:hAnsi="Arial"/>
            <w:sz w:val="14"/>
            <w:szCs w:val="14"/>
            <w:u w:val="single" w:color="auto"/>
            <w:color w:val="0000FF"/>
          </w:rPr>
          <w:t>3.2</w:t>
        </w:r>
      </w:hyperlink>
      <w:r>
        <w:rPr>
          <w:rFonts w:ascii="Arial" w:cs="Arial" w:eastAsia="Arial" w:hAnsi="Arial"/>
          <w:sz w:val="14"/>
          <w:szCs w:val="14"/>
          <w:color w:val="0000FF"/>
        </w:rPr>
        <w:tab/>
        <w:t>Amended and Restated Certificate of Incorporation of FTAI Infrastructure Inc. (incorporated by reference to Exhibit 3.2 of the Company’s Current Report on Form 8-K, filed August 1, 2022).</w:t>
      </w:r>
    </w:p>
    <w:p>
      <w:pPr>
        <w:spacing w:after="0" w:line="10" w:lineRule="exact"/>
        <w:rPr>
          <w:sz w:val="20"/>
          <w:szCs w:val="20"/>
          <w:color w:val="auto"/>
        </w:rPr>
      </w:pPr>
    </w:p>
    <w:p>
      <w:pPr>
        <w:ind w:left="1520" w:hanging="370"/>
        <w:spacing w:after="0" w:line="244" w:lineRule="auto"/>
        <w:tabs>
          <w:tab w:leader="none" w:pos="1500" w:val="left"/>
        </w:tabs>
        <w:rPr>
          <w:rFonts w:ascii="Arial" w:cs="Arial" w:eastAsia="Arial" w:hAnsi="Arial"/>
          <w:sz w:val="14"/>
          <w:szCs w:val="14"/>
          <w:color w:val="0000FF"/>
        </w:rPr>
      </w:pPr>
      <w:hyperlink r:id="rId168">
        <w:r>
          <w:rPr>
            <w:rFonts w:ascii="Arial" w:cs="Arial" w:eastAsia="Arial" w:hAnsi="Arial"/>
            <w:sz w:val="14"/>
            <w:szCs w:val="14"/>
            <w:u w:val="single" w:color="auto"/>
            <w:color w:val="0000FF"/>
          </w:rPr>
          <w:t>3.3</w:t>
        </w:r>
      </w:hyperlink>
      <w:r>
        <w:rPr>
          <w:rFonts w:ascii="Arial" w:cs="Arial" w:eastAsia="Arial" w:hAnsi="Arial"/>
          <w:sz w:val="14"/>
          <w:szCs w:val="14"/>
          <w:color w:val="0000FF"/>
        </w:rPr>
        <w:tab/>
        <w:t>Amended and Restated Bylaws of FTAI Infrastructure Inc. (incorporated by reference to Exhibit 3.3 of the Company’s Current Report on Form 8-K, filed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98030" cy="214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ind w:left="1140"/>
        <w:spacing w:after="0" w:line="237" w:lineRule="auto"/>
        <w:tabs>
          <w:tab w:leader="none" w:pos="1500" w:val="left"/>
        </w:tabs>
        <w:rPr>
          <w:rFonts w:ascii="Arial" w:cs="Arial" w:eastAsia="Arial" w:hAnsi="Arial"/>
          <w:sz w:val="14"/>
          <w:szCs w:val="14"/>
          <w:color w:val="0000FF"/>
        </w:rPr>
      </w:pPr>
      <w:hyperlink r:id="rId170">
        <w:r>
          <w:rPr>
            <w:rFonts w:ascii="Arial" w:cs="Arial" w:eastAsia="Arial" w:hAnsi="Arial"/>
            <w:sz w:val="14"/>
            <w:szCs w:val="14"/>
            <w:u w:val="single" w:color="auto"/>
            <w:color w:val="0000FF"/>
          </w:rPr>
          <w:t>3.4</w:t>
        </w:r>
      </w:hyperlink>
      <w:r>
        <w:rPr>
          <w:rFonts w:ascii="Arial" w:cs="Arial" w:eastAsia="Arial" w:hAnsi="Arial"/>
          <w:sz w:val="14"/>
          <w:szCs w:val="14"/>
          <w:color w:val="0000FF"/>
        </w:rPr>
        <w:tab/>
        <w:t>Second Certificate of Amendment to the Certificate of Designations of Series A Senior Preferred Stock of FTAI Infrastructure Inc., dated as of February</w:t>
      </w:r>
    </w:p>
    <w:p>
      <w:pPr>
        <w:ind w:left="1520"/>
        <w:spacing w:after="0"/>
        <w:rPr>
          <w:sz w:val="20"/>
          <w:szCs w:val="20"/>
          <w:color w:val="auto"/>
        </w:rPr>
      </w:pPr>
      <w:r>
        <w:rPr>
          <w:rFonts w:ascii="Arial" w:cs="Arial" w:eastAsia="Arial" w:hAnsi="Arial"/>
          <w:sz w:val="14"/>
          <w:szCs w:val="14"/>
          <w:color w:val="auto"/>
        </w:rPr>
        <w:t>26, 2025 (incorporated by reference to Exhibit 3.1 of the Company’s Current Report on Form 8-K, filed February 27, 2025).</w:t>
      </w:r>
    </w:p>
    <w:p>
      <w:pPr>
        <w:spacing w:after="0" w:line="28" w:lineRule="exact"/>
        <w:rPr>
          <w:sz w:val="20"/>
          <w:szCs w:val="20"/>
          <w:color w:val="auto"/>
        </w:rPr>
      </w:pPr>
    </w:p>
    <w:p>
      <w:pPr>
        <w:ind w:left="1520" w:hanging="370"/>
        <w:spacing w:after="0" w:line="244" w:lineRule="auto"/>
        <w:tabs>
          <w:tab w:leader="none" w:pos="1500" w:val="left"/>
        </w:tabs>
        <w:rPr>
          <w:rFonts w:ascii="Arial" w:cs="Arial" w:eastAsia="Arial" w:hAnsi="Arial"/>
          <w:sz w:val="14"/>
          <w:szCs w:val="14"/>
          <w:color w:val="0000FF"/>
        </w:rPr>
      </w:pPr>
      <w:hyperlink r:id="rId171">
        <w:r>
          <w:rPr>
            <w:rFonts w:ascii="Arial" w:cs="Arial" w:eastAsia="Arial" w:hAnsi="Arial"/>
            <w:sz w:val="14"/>
            <w:szCs w:val="14"/>
            <w:u w:val="single" w:color="auto"/>
            <w:color w:val="0000FF"/>
          </w:rPr>
          <w:t>3.5</w:t>
        </w:r>
      </w:hyperlink>
      <w:r>
        <w:rPr>
          <w:rFonts w:ascii="Arial" w:cs="Arial" w:eastAsia="Arial" w:hAnsi="Arial"/>
          <w:sz w:val="14"/>
          <w:szCs w:val="14"/>
          <w:color w:val="0000FF"/>
        </w:rPr>
        <w:tab/>
        <w:t>Certificate of Designations of Series B Convertible Junior Preferred Stock of FTAI Infrastructure Inc., dated as of February 26, 2025 (incorporated by reference to Exhibit 3.2 of the Company’s Current Report on Form 8-K, filed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98030"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ind w:left="1140"/>
        <w:spacing w:after="0"/>
        <w:tabs>
          <w:tab w:leader="none" w:pos="1500" w:val="left"/>
        </w:tabs>
        <w:rPr>
          <w:sz w:val="20"/>
          <w:szCs w:val="20"/>
          <w:color w:val="auto"/>
        </w:rPr>
      </w:pPr>
      <w:r>
        <w:rPr>
          <w:rFonts w:ascii="Arial" w:cs="Arial" w:eastAsia="Arial" w:hAnsi="Arial"/>
          <w:sz w:val="14"/>
          <w:szCs w:val="14"/>
          <w:u w:val="single" w:color="auto"/>
          <w:color w:val="0000FF"/>
        </w:rPr>
        <w:t>4.1</w:t>
      </w:r>
      <w:r>
        <w:rPr>
          <w:sz w:val="20"/>
          <w:szCs w:val="20"/>
          <w:color w:val="auto"/>
        </w:rPr>
        <w:tab/>
      </w:r>
      <w:r>
        <w:rPr>
          <w:rFonts w:ascii="Arial" w:cs="Arial" w:eastAsia="Arial" w:hAnsi="Arial"/>
          <w:sz w:val="14"/>
          <w:szCs w:val="14"/>
          <w:color w:val="auto"/>
        </w:rPr>
        <w:t>Description of Securities Registered under Section 12 of the Exchange Act.</w:t>
      </w:r>
    </w:p>
    <w:p>
      <w:pPr>
        <w:spacing w:after="0" w:line="42" w:lineRule="exact"/>
        <w:rPr>
          <w:sz w:val="20"/>
          <w:szCs w:val="20"/>
          <w:color w:val="auto"/>
        </w:rPr>
      </w:pPr>
    </w:p>
    <w:p>
      <w:pPr>
        <w:jc w:val="right"/>
        <w:ind w:left="1140"/>
        <w:spacing w:after="0" w:line="221" w:lineRule="auto"/>
        <w:rPr>
          <w:rFonts w:ascii="Arial" w:cs="Arial" w:eastAsia="Arial" w:hAnsi="Arial"/>
          <w:sz w:val="14"/>
          <w:szCs w:val="14"/>
          <w:color w:val="0000FF"/>
        </w:rPr>
      </w:pPr>
      <w:hyperlink r:id="rId173">
        <w:r>
          <w:rPr>
            <w:rFonts w:ascii="Arial" w:cs="Arial" w:eastAsia="Arial" w:hAnsi="Arial"/>
            <w:sz w:val="14"/>
            <w:szCs w:val="14"/>
            <w:u w:val="single" w:color="auto"/>
            <w:color w:val="0000FF"/>
          </w:rPr>
          <w:t>4.2</w:t>
        </w:r>
        <w:r>
          <w:rPr>
            <w:rFonts w:ascii="Arial" w:cs="Arial" w:eastAsia="Arial" w:hAnsi="Arial"/>
            <w:sz w:val="14"/>
            <w:szCs w:val="14"/>
            <w:color w:val="0000FF"/>
          </w:rPr>
          <w:t xml:space="preserve">  </w:t>
        </w:r>
      </w:hyperlink>
      <w:r>
        <w:rPr>
          <w:rFonts w:ascii="Arial" w:cs="Arial" w:eastAsia="Arial" w:hAnsi="Arial"/>
          <w:sz w:val="14"/>
          <w:szCs w:val="14"/>
          <w:color w:val="000000"/>
        </w:rPr>
        <w:t>Indenture,</w:t>
      </w:r>
      <w:r>
        <w:rPr>
          <w:rFonts w:ascii="Arial" w:cs="Arial" w:eastAsia="Arial" w:hAnsi="Arial"/>
          <w:sz w:val="14"/>
          <w:szCs w:val="14"/>
          <w:color w:val="0000FF"/>
        </w:rPr>
        <w:t xml:space="preserve"> </w:t>
      </w:r>
      <w:r>
        <w:rPr>
          <w:rFonts w:ascii="Arial" w:cs="Arial" w:eastAsia="Arial" w:hAnsi="Arial"/>
          <w:sz w:val="14"/>
          <w:szCs w:val="14"/>
          <w:color w:val="000000"/>
        </w:rPr>
        <w:t>dated as of February 19, 2025, among Long Ridge Energy LLC, Long Ridge Energy Generation LLC, Ohio GasCo LLC and U.S. Bank Trust</w:t>
      </w:r>
      <w:r>
        <w:rPr>
          <w:rFonts w:ascii="Arial" w:cs="Arial" w:eastAsia="Arial" w:hAnsi="Arial"/>
          <w:sz w:val="14"/>
          <w:szCs w:val="14"/>
          <w:color w:val="0000FF"/>
        </w:rPr>
        <w:t xml:space="preserve"> </w:t>
      </w:r>
      <w:r>
        <w:rPr>
          <w:rFonts w:ascii="Arial" w:cs="Arial" w:eastAsia="Arial" w:hAnsi="Arial"/>
          <w:sz w:val="14"/>
          <w:szCs w:val="14"/>
          <w:color w:val="000000"/>
        </w:rPr>
        <w:t>Company, National Association, as trustee and collateral agent (incorporated by reference to Exhibit 4.1 of the Company’s Current Report on Form 8-K,</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filed 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ind w:left="1140"/>
        <w:spacing w:after="0"/>
        <w:tabs>
          <w:tab w:leader="none" w:pos="1500" w:val="left"/>
        </w:tabs>
        <w:rPr>
          <w:rFonts w:ascii="Arial" w:cs="Arial" w:eastAsia="Arial" w:hAnsi="Arial"/>
          <w:sz w:val="14"/>
          <w:szCs w:val="14"/>
          <w:color w:val="0000FF"/>
        </w:rPr>
      </w:pPr>
      <w:hyperlink r:id="rId173">
        <w:r>
          <w:rPr>
            <w:rFonts w:ascii="Arial" w:cs="Arial" w:eastAsia="Arial" w:hAnsi="Arial"/>
            <w:sz w:val="14"/>
            <w:szCs w:val="14"/>
            <w:u w:val="single" w:color="auto"/>
            <w:color w:val="0000FF"/>
          </w:rPr>
          <w:t>4.3</w:t>
        </w:r>
      </w:hyperlink>
      <w:r>
        <w:rPr>
          <w:rFonts w:ascii="Arial" w:cs="Arial" w:eastAsia="Arial" w:hAnsi="Arial"/>
          <w:sz w:val="14"/>
          <w:szCs w:val="14"/>
          <w:color w:val="0000FF"/>
        </w:rPr>
        <w:tab/>
        <w:t>Form of 8.750% Senior Secured Notes due 2032 (incorporated by reference to Exhibit 4.2 of the Company’s Current Report on Form 8-K, filed February</w:t>
      </w:r>
    </w:p>
    <w:p>
      <w:pPr>
        <w:ind w:left="1520"/>
        <w:spacing w:after="0"/>
        <w:rPr>
          <w:sz w:val="20"/>
          <w:szCs w:val="20"/>
          <w:color w:val="auto"/>
        </w:rPr>
      </w:pPr>
      <w:r>
        <w:rPr>
          <w:rFonts w:ascii="Arial" w:cs="Arial" w:eastAsia="Arial" w:hAnsi="Arial"/>
          <w:sz w:val="14"/>
          <w:szCs w:val="14"/>
          <w:color w:val="auto"/>
        </w:rPr>
        <w:t>25, 2025).</w:t>
      </w:r>
    </w:p>
    <w:p>
      <w:pPr>
        <w:spacing w:after="0" w:line="28" w:lineRule="exact"/>
        <w:rPr>
          <w:sz w:val="20"/>
          <w:szCs w:val="20"/>
          <w:color w:val="auto"/>
        </w:rPr>
      </w:pPr>
    </w:p>
    <w:p>
      <w:pPr>
        <w:ind w:left="1520" w:hanging="450"/>
        <w:spacing w:after="0" w:line="244" w:lineRule="auto"/>
        <w:tabs>
          <w:tab w:leader="none" w:pos="1500" w:val="left"/>
        </w:tabs>
        <w:rPr>
          <w:rFonts w:ascii="Arial" w:cs="Arial" w:eastAsia="Arial" w:hAnsi="Arial"/>
          <w:sz w:val="14"/>
          <w:szCs w:val="14"/>
          <w:color w:val="0000FF"/>
        </w:rPr>
      </w:pPr>
      <w:hyperlink r:id="rId175">
        <w:r>
          <w:rPr>
            <w:rFonts w:ascii="Arial" w:cs="Arial" w:eastAsia="Arial" w:hAnsi="Arial"/>
            <w:sz w:val="14"/>
            <w:szCs w:val="14"/>
            <w:u w:val="single" w:color="auto"/>
            <w:color w:val="0000FF"/>
          </w:rPr>
          <w:t>10.1</w:t>
        </w:r>
      </w:hyperlink>
      <w:r>
        <w:rPr>
          <w:rFonts w:ascii="Arial" w:cs="Arial" w:eastAsia="Arial" w:hAnsi="Arial"/>
          <w:sz w:val="14"/>
          <w:szCs w:val="14"/>
          <w:color w:val="0000FF"/>
        </w:rPr>
        <w:tab/>
        <w:t>Amended and Restated Management and Advisory Agreement, dated as of July 31, 2022, between FTAI Infrastructure Inc. and FIG LLC (incorporated by reference to Exhibit 10.1 of the Company’s Current Report on Form 8-K, filed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9803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ind w:left="1520" w:hanging="450"/>
        <w:spacing w:after="0" w:line="244" w:lineRule="auto"/>
        <w:tabs>
          <w:tab w:leader="none" w:pos="1500" w:val="left"/>
        </w:tabs>
        <w:rPr>
          <w:rFonts w:ascii="Arial" w:cs="Arial" w:eastAsia="Arial" w:hAnsi="Arial"/>
          <w:sz w:val="14"/>
          <w:szCs w:val="14"/>
          <w:color w:val="0000FF"/>
        </w:rPr>
      </w:pPr>
      <w:hyperlink r:id="rId177">
        <w:r>
          <w:rPr>
            <w:rFonts w:ascii="Arial" w:cs="Arial" w:eastAsia="Arial" w:hAnsi="Arial"/>
            <w:sz w:val="14"/>
            <w:szCs w:val="14"/>
            <w:u w:val="single" w:color="auto"/>
            <w:color w:val="0000FF"/>
          </w:rPr>
          <w:t>10.2</w:t>
        </w:r>
      </w:hyperlink>
      <w:r>
        <w:rPr>
          <w:rFonts w:ascii="Arial" w:cs="Arial" w:eastAsia="Arial" w:hAnsi="Arial"/>
          <w:sz w:val="14"/>
          <w:szCs w:val="14"/>
          <w:color w:val="0000FF"/>
        </w:rPr>
        <w:tab/>
        <w:t>Form of Indemnification Agreement by and between FTAI Infrastructure Inc. and its directors and officers (incorporated by reference to Exhibit 10.8 of the Company’s Current Report on Form 8-K, filed August 1, 2022).</w:t>
      </w:r>
    </w:p>
    <w:p>
      <w:pPr>
        <w:spacing w:after="0" w:line="10" w:lineRule="exact"/>
        <w:rPr>
          <w:sz w:val="20"/>
          <w:szCs w:val="20"/>
          <w:color w:val="auto"/>
        </w:rPr>
      </w:pPr>
    </w:p>
    <w:p>
      <w:pPr>
        <w:ind w:left="1520" w:hanging="1494"/>
        <w:spacing w:after="0" w:line="244" w:lineRule="auto"/>
        <w:tabs>
          <w:tab w:leader="none" w:pos="1069" w:val="left"/>
        </w:tabs>
        <w:numPr>
          <w:ilvl w:val="0"/>
          <w:numId w:val="56"/>
        </w:numPr>
        <w:rPr>
          <w:rFonts w:ascii="Arial" w:cs="Arial" w:eastAsia="Arial" w:hAnsi="Arial"/>
          <w:sz w:val="14"/>
          <w:szCs w:val="14"/>
          <w:color w:val="0000FF"/>
        </w:rPr>
      </w:pPr>
      <w:hyperlink r:id="rId178">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FTAI</w:t>
      </w:r>
      <w:r>
        <w:rPr>
          <w:rFonts w:ascii="Arial" w:cs="Arial" w:eastAsia="Arial" w:hAnsi="Arial"/>
          <w:sz w:val="14"/>
          <w:szCs w:val="14"/>
          <w:color w:val="0000FF"/>
        </w:rPr>
        <w:t xml:space="preserve"> </w:t>
      </w:r>
      <w:r>
        <w:rPr>
          <w:rFonts w:ascii="Arial" w:cs="Arial" w:eastAsia="Arial" w:hAnsi="Arial"/>
          <w:sz w:val="14"/>
          <w:szCs w:val="14"/>
          <w:color w:val="000000"/>
        </w:rPr>
        <w:t>Infrastructure Inc. Nonqualified Stock Option and Incentive Award Plan (incorporated by reference to Exhibit 10.4 of the Company’s Current</w:t>
      </w:r>
      <w:r>
        <w:rPr>
          <w:rFonts w:ascii="Arial" w:cs="Arial" w:eastAsia="Arial" w:hAnsi="Arial"/>
          <w:sz w:val="14"/>
          <w:szCs w:val="14"/>
          <w:color w:val="0000FF"/>
        </w:rPr>
        <w:t xml:space="preserve"> </w:t>
      </w:r>
      <w:r>
        <w:rPr>
          <w:rFonts w:ascii="Arial" w:cs="Arial" w:eastAsia="Arial" w:hAnsi="Arial"/>
          <w:sz w:val="14"/>
          <w:szCs w:val="14"/>
          <w:color w:val="000000"/>
        </w:rPr>
        <w:t>Report on Form 8-K, filed August 1, 2022).</w:t>
      </w:r>
    </w:p>
    <w:p>
      <w:pPr>
        <w:spacing w:after="0" w:line="10" w:lineRule="exact"/>
        <w:rPr>
          <w:rFonts w:ascii="Arial" w:cs="Arial" w:eastAsia="Arial" w:hAnsi="Arial"/>
          <w:sz w:val="14"/>
          <w:szCs w:val="14"/>
          <w:color w:val="0000FF"/>
        </w:rPr>
      </w:pPr>
    </w:p>
    <w:p>
      <w:pPr>
        <w:ind w:left="1520" w:hanging="1494"/>
        <w:spacing w:after="0" w:line="244" w:lineRule="auto"/>
        <w:tabs>
          <w:tab w:leader="none" w:pos="1069" w:val="left"/>
        </w:tabs>
        <w:numPr>
          <w:ilvl w:val="0"/>
          <w:numId w:val="56"/>
        </w:numPr>
        <w:rPr>
          <w:rFonts w:ascii="Arial" w:cs="Arial" w:eastAsia="Arial" w:hAnsi="Arial"/>
          <w:sz w:val="14"/>
          <w:szCs w:val="14"/>
          <w:color w:val="0000FF"/>
        </w:rPr>
      </w:pPr>
      <w:hyperlink r:id="rId179">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pursuant to the FTAI Infrastructure Inc. Nonqualified Stock Option and Incentive Award Plan (incorporated by reference to</w:t>
      </w:r>
      <w:r>
        <w:rPr>
          <w:rFonts w:ascii="Arial" w:cs="Arial" w:eastAsia="Arial" w:hAnsi="Arial"/>
          <w:sz w:val="14"/>
          <w:szCs w:val="14"/>
          <w:color w:val="0000FF"/>
        </w:rPr>
        <w:t xml:space="preserve"> </w:t>
      </w:r>
      <w:r>
        <w:rPr>
          <w:rFonts w:ascii="Arial" w:cs="Arial" w:eastAsia="Arial" w:hAnsi="Arial"/>
          <w:sz w:val="14"/>
          <w:szCs w:val="14"/>
          <w:color w:val="000000"/>
        </w:rPr>
        <w:t>Exhibit 10.4 of the Company’s Registration Statement on Form 10, filed April 29, 2022).</w:t>
      </w:r>
    </w:p>
    <w:p>
      <w:pPr>
        <w:spacing w:after="0" w:line="10" w:lineRule="exact"/>
        <w:rPr>
          <w:rFonts w:ascii="Arial" w:cs="Arial" w:eastAsia="Arial" w:hAnsi="Arial"/>
          <w:sz w:val="14"/>
          <w:szCs w:val="14"/>
          <w:color w:val="0000FF"/>
        </w:rPr>
      </w:pPr>
    </w:p>
    <w:p>
      <w:pPr>
        <w:ind w:left="1520" w:hanging="1494"/>
        <w:spacing w:after="0" w:line="244" w:lineRule="auto"/>
        <w:tabs>
          <w:tab w:leader="none" w:pos="1069" w:val="left"/>
        </w:tabs>
        <w:numPr>
          <w:ilvl w:val="0"/>
          <w:numId w:val="56"/>
        </w:numPr>
        <w:rPr>
          <w:rFonts w:ascii="Arial" w:cs="Arial" w:eastAsia="Arial" w:hAnsi="Arial"/>
          <w:sz w:val="14"/>
          <w:szCs w:val="14"/>
          <w:color w:val="0000FF"/>
        </w:rPr>
      </w:pPr>
      <w:hyperlink r:id="rId180">
        <w:r>
          <w:rPr>
            <w:rFonts w:ascii="Arial" w:cs="Arial" w:eastAsia="Arial" w:hAnsi="Arial"/>
            <w:sz w:val="14"/>
            <w:szCs w:val="14"/>
            <w:u w:val="single" w:color="auto"/>
            <w:color w:val="0000FF"/>
          </w:rPr>
          <w:t>10.5</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Director Award Agreement pursuant to the FTAI Infrastructure Inc. Nonqualified Stock Option and Incentive Plan (incorporated by reference to</w:t>
      </w:r>
      <w:r>
        <w:rPr>
          <w:rFonts w:ascii="Arial" w:cs="Arial" w:eastAsia="Arial" w:hAnsi="Arial"/>
          <w:sz w:val="14"/>
          <w:szCs w:val="14"/>
          <w:color w:val="0000FF"/>
        </w:rPr>
        <w:t xml:space="preserve"> </w:t>
      </w:r>
      <w:r>
        <w:rPr>
          <w:rFonts w:ascii="Arial" w:cs="Arial" w:eastAsia="Arial" w:hAnsi="Arial"/>
          <w:sz w:val="14"/>
          <w:szCs w:val="14"/>
          <w:color w:val="000000"/>
        </w:rPr>
        <w:t>Exhibit 10.5 of the Company’s Registration Statement on Form 10, filed April 29, 2022).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098030" cy="2146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098030" cy="2146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ind w:left="1520" w:hanging="450"/>
        <w:spacing w:after="0" w:line="244" w:lineRule="auto"/>
        <w:tabs>
          <w:tab w:leader="none" w:pos="1500" w:val="left"/>
        </w:tabs>
        <w:rPr>
          <w:rFonts w:ascii="Arial" w:cs="Arial" w:eastAsia="Arial" w:hAnsi="Arial"/>
          <w:sz w:val="14"/>
          <w:szCs w:val="14"/>
          <w:color w:val="0000FF"/>
        </w:rPr>
      </w:pPr>
      <w:hyperlink r:id="rId183">
        <w:r>
          <w:rPr>
            <w:rFonts w:ascii="Arial" w:cs="Arial" w:eastAsia="Arial" w:hAnsi="Arial"/>
            <w:sz w:val="14"/>
            <w:szCs w:val="14"/>
            <w:u w:val="single" w:color="auto"/>
            <w:color w:val="0000FF"/>
          </w:rPr>
          <w:t>10.6</w:t>
        </w:r>
      </w:hyperlink>
      <w:r>
        <w:rPr>
          <w:rFonts w:ascii="Arial" w:cs="Arial" w:eastAsia="Arial" w:hAnsi="Arial"/>
          <w:sz w:val="14"/>
          <w:szCs w:val="14"/>
          <w:color w:val="0000FF"/>
        </w:rPr>
        <w:tab/>
        <w:t>Registration Rights Agreement, dated as of August 1, 2022, between FTAI Infrastructure Inc., FIG LLC and Fortress Worldwide Transportation and Infrastructure Master GP LLC (incorporated by reference to Exhibit 10.2 of the Company’s Current Report on Form 8-K, filed August 1, 2022).</w:t>
      </w:r>
    </w:p>
    <w:p>
      <w:pPr>
        <w:spacing w:after="0" w:line="10" w:lineRule="exact"/>
        <w:rPr>
          <w:rFonts w:ascii="Arial" w:cs="Arial" w:eastAsia="Arial" w:hAnsi="Arial"/>
          <w:sz w:val="14"/>
          <w:szCs w:val="14"/>
          <w:color w:val="auto"/>
        </w:rPr>
      </w:pPr>
    </w:p>
    <w:p>
      <w:pPr>
        <w:jc w:val="right"/>
        <w:ind w:left="1060"/>
        <w:spacing w:after="0" w:line="221" w:lineRule="auto"/>
        <w:rPr>
          <w:rFonts w:ascii="Arial" w:cs="Arial" w:eastAsia="Arial" w:hAnsi="Arial"/>
          <w:sz w:val="14"/>
          <w:szCs w:val="14"/>
          <w:color w:val="0000FF"/>
        </w:rPr>
      </w:pPr>
      <w:hyperlink r:id="rId184">
        <w:r>
          <w:rPr>
            <w:rFonts w:ascii="Arial" w:cs="Arial" w:eastAsia="Arial" w:hAnsi="Arial"/>
            <w:sz w:val="14"/>
            <w:szCs w:val="14"/>
            <w:u w:val="single" w:color="auto"/>
            <w:color w:val="0000FF"/>
          </w:rPr>
          <w:t>10.7</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Fortress Transportation and Infrastructure Investors LLC’s Quarterly Report on Form 10-</w:t>
      </w:r>
    </w:p>
    <w:p>
      <w:pPr>
        <w:spacing w:after="0" w:line="1" w:lineRule="exact"/>
        <w:rPr>
          <w:rFonts w:ascii="Arial" w:cs="Arial" w:eastAsia="Arial" w:hAnsi="Arial"/>
          <w:sz w:val="14"/>
          <w:szCs w:val="14"/>
          <w:color w:val="auto"/>
        </w:rPr>
      </w:pPr>
    </w:p>
    <w:p>
      <w:pPr>
        <w:ind w:left="1520"/>
        <w:spacing w:after="0"/>
        <w:rPr>
          <w:sz w:val="20"/>
          <w:szCs w:val="20"/>
          <w:color w:val="auto"/>
        </w:rPr>
      </w:pPr>
      <w:r>
        <w:rPr>
          <w:rFonts w:ascii="Arial" w:cs="Arial" w:eastAsia="Arial" w:hAnsi="Arial"/>
          <w:sz w:val="14"/>
          <w:szCs w:val="14"/>
          <w:color w:val="auto"/>
        </w:rPr>
        <w:t>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3086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jc w:val="right"/>
        <w:ind w:left="1060"/>
        <w:spacing w:after="0" w:line="221" w:lineRule="auto"/>
        <w:rPr>
          <w:rFonts w:ascii="Arial" w:cs="Arial" w:eastAsia="Arial" w:hAnsi="Arial"/>
          <w:sz w:val="14"/>
          <w:szCs w:val="14"/>
          <w:color w:val="0000FF"/>
        </w:rPr>
      </w:pPr>
      <w:hyperlink r:id="rId186">
        <w:r>
          <w:rPr>
            <w:rFonts w:ascii="Arial" w:cs="Arial" w:eastAsia="Arial" w:hAnsi="Arial"/>
            <w:sz w:val="14"/>
            <w:szCs w:val="14"/>
            <w:u w:val="single" w:color="auto"/>
            <w:color w:val="0000FF"/>
          </w:rPr>
          <w:t>10.8</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Fortress Transportation and Infrastructure Investors LLC's</w:t>
      </w:r>
    </w:p>
    <w:p>
      <w:pPr>
        <w:spacing w:after="0" w:line="1" w:lineRule="exact"/>
        <w:rPr>
          <w:rFonts w:ascii="Arial" w:cs="Arial" w:eastAsia="Arial" w:hAnsi="Arial"/>
          <w:sz w:val="14"/>
          <w:szCs w:val="14"/>
          <w:color w:val="auto"/>
        </w:rPr>
      </w:pPr>
    </w:p>
    <w:p>
      <w:pPr>
        <w:ind w:left="1520"/>
        <w:spacing w:after="0"/>
        <w:rPr>
          <w:sz w:val="20"/>
          <w:szCs w:val="20"/>
          <w:color w:val="auto"/>
        </w:rPr>
      </w:pPr>
      <w:r>
        <w:rPr>
          <w:rFonts w:ascii="Arial" w:cs="Arial" w:eastAsia="Arial" w:hAnsi="Arial"/>
          <w:sz w:val="14"/>
          <w:szCs w:val="14"/>
          <w:color w:val="auto"/>
        </w:rPr>
        <w:t>Quarterly Report on Form 10-Q, filed on May 3, 2019).</w:t>
      </w:r>
    </w:p>
    <w:p>
      <w:pPr>
        <w:spacing w:after="0" w:line="28" w:lineRule="exact"/>
        <w:rPr>
          <w:rFonts w:ascii="Arial" w:cs="Arial" w:eastAsia="Arial" w:hAnsi="Arial"/>
          <w:sz w:val="14"/>
          <w:szCs w:val="14"/>
          <w:color w:val="auto"/>
        </w:rPr>
      </w:pPr>
    </w:p>
    <w:p>
      <w:pPr>
        <w:jc w:val="right"/>
        <w:ind w:left="1060"/>
        <w:spacing w:after="0" w:line="221" w:lineRule="auto"/>
        <w:rPr>
          <w:rFonts w:ascii="Arial" w:cs="Arial" w:eastAsia="Arial" w:hAnsi="Arial"/>
          <w:sz w:val="14"/>
          <w:szCs w:val="14"/>
          <w:color w:val="0000FF"/>
        </w:rPr>
      </w:pPr>
      <w:hyperlink r:id="rId187">
        <w:r>
          <w:rPr>
            <w:rFonts w:ascii="Arial" w:cs="Arial" w:eastAsia="Arial" w:hAnsi="Arial"/>
            <w:sz w:val="14"/>
            <w:szCs w:val="14"/>
            <w:u w:val="single" w:color="auto"/>
            <w:color w:val="0000FF"/>
          </w:rPr>
          <w:t>10.9</w:t>
        </w:r>
        <w:r>
          <w:rPr>
            <w:rFonts w:ascii="Arial" w:cs="Arial" w:eastAsia="Arial" w:hAnsi="Arial"/>
            <w:sz w:val="14"/>
            <w:szCs w:val="14"/>
            <w:color w:val="0000FF"/>
          </w:rPr>
          <w:t xml:space="preserve">  </w:t>
        </w:r>
      </w:hyperlink>
      <w:r>
        <w:rPr>
          <w:rFonts w:ascii="Arial" w:cs="Arial" w:eastAsia="Arial" w:hAnsi="Arial"/>
          <w:sz w:val="14"/>
          <w:szCs w:val="14"/>
          <w:color w:val="000000"/>
        </w:rPr>
        <w:t>Second</w:t>
      </w:r>
      <w:r>
        <w:rPr>
          <w:rFonts w:ascii="Arial" w:cs="Arial" w:eastAsia="Arial" w:hAnsi="Arial"/>
          <w:sz w:val="14"/>
          <w:szCs w:val="14"/>
          <w:color w:val="0000FF"/>
        </w:rPr>
        <w:t xml:space="preserve"> </w:t>
      </w:r>
      <w:r>
        <w:rPr>
          <w:rFonts w:ascii="Arial" w:cs="Arial" w:eastAsia="Arial" w:hAnsi="Arial"/>
          <w:sz w:val="14"/>
          <w:szCs w:val="14"/>
          <w:color w:val="000000"/>
        </w:rPr>
        <w:t>Amended and Restated Senior Loan Agreement, dated as of June 1, 2024 and effective as of June 20, 2024, between Jefferson 2020 Bond</w:t>
      </w:r>
      <w:r>
        <w:rPr>
          <w:rFonts w:ascii="Arial" w:cs="Arial" w:eastAsia="Arial" w:hAnsi="Arial"/>
          <w:sz w:val="14"/>
          <w:szCs w:val="14"/>
          <w:color w:val="0000FF"/>
        </w:rPr>
        <w:t xml:space="preserve"> </w:t>
      </w:r>
      <w:r>
        <w:rPr>
          <w:rFonts w:ascii="Arial" w:cs="Arial" w:eastAsia="Arial" w:hAnsi="Arial"/>
          <w:sz w:val="14"/>
          <w:szCs w:val="14"/>
          <w:color w:val="000000"/>
        </w:rPr>
        <w:t>Borrower LLC and Port of Beaumont Navigation District of Jefferson County, Texas (incorporated by reference to Exhibit 10.1 of the Company’s Current</w:t>
      </w:r>
    </w:p>
    <w:p>
      <w:pPr>
        <w:spacing w:after="0" w:line="1" w:lineRule="exact"/>
        <w:rPr>
          <w:rFonts w:ascii="Arial" w:cs="Arial" w:eastAsia="Arial" w:hAnsi="Arial"/>
          <w:sz w:val="14"/>
          <w:szCs w:val="14"/>
          <w:color w:val="auto"/>
        </w:rPr>
      </w:pPr>
    </w:p>
    <w:p>
      <w:pPr>
        <w:ind w:left="1520"/>
        <w:spacing w:after="0"/>
        <w:rPr>
          <w:sz w:val="20"/>
          <w:szCs w:val="20"/>
          <w:color w:val="auto"/>
        </w:rPr>
      </w:pPr>
      <w:r>
        <w:rPr>
          <w:rFonts w:ascii="Arial" w:cs="Arial" w:eastAsia="Arial" w:hAnsi="Arial"/>
          <w:sz w:val="14"/>
          <w:szCs w:val="14"/>
          <w:color w:val="auto"/>
        </w:rPr>
        <w:t>Report on Form 8-K, filed June 20, 2024).</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4540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098030" cy="454025"/>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jc w:val="both"/>
        <w:ind w:left="1520" w:hanging="530"/>
        <w:spacing w:after="0" w:line="262" w:lineRule="auto"/>
        <w:tabs>
          <w:tab w:leader="none" w:pos="1500" w:val="left"/>
        </w:tabs>
        <w:rPr>
          <w:rFonts w:ascii="Arial" w:cs="Arial" w:eastAsia="Arial" w:hAnsi="Arial"/>
          <w:sz w:val="14"/>
          <w:szCs w:val="14"/>
          <w:color w:val="0000FF"/>
        </w:rPr>
      </w:pPr>
      <w:hyperlink r:id="rId189">
        <w:r>
          <w:rPr>
            <w:rFonts w:ascii="Arial" w:cs="Arial" w:eastAsia="Arial" w:hAnsi="Arial"/>
            <w:sz w:val="14"/>
            <w:szCs w:val="14"/>
            <w:u w:val="single" w:color="auto"/>
            <w:color w:val="0000FF"/>
          </w:rPr>
          <w:t>10.10</w:t>
        </w:r>
      </w:hyperlink>
      <w:r>
        <w:rPr>
          <w:rFonts w:ascii="Arial" w:cs="Arial" w:eastAsia="Arial" w:hAnsi="Arial"/>
          <w:sz w:val="14"/>
          <w:szCs w:val="14"/>
          <w:color w:val="0000FF"/>
        </w:rPr>
        <w:tab/>
        <w:t>Deed of Trust, Security Agreement, Financing Statement and Fixture Filing, dated February 1, 2020, from Jefferson 2020 Bond Borrower LLC, as grantor, and Jefferson 2020 Bond Lessee LLC, as grantor, to Ken N. Whitlow, as Deed of Trust Trustee for the benefit of Deutsche Bank National Trust Company, as beneficiary (incorporated by reference to Exhibit 10.17 of Fortress Transportation and Infrastructure Investors LLC’s Quarterly Report on Form 10-Q, filed on May 1, 2020).</w:t>
      </w:r>
    </w:p>
    <w:p>
      <w:pPr>
        <w:spacing w:after="0" w:line="12" w:lineRule="exact"/>
        <w:rPr>
          <w:rFonts w:ascii="Arial" w:cs="Arial" w:eastAsia="Arial" w:hAnsi="Arial"/>
          <w:sz w:val="14"/>
          <w:szCs w:val="14"/>
          <w:color w:val="auto"/>
        </w:rPr>
      </w:pPr>
    </w:p>
    <w:p>
      <w:pPr>
        <w:jc w:val="both"/>
        <w:ind w:left="1520" w:hanging="519"/>
        <w:spacing w:after="0" w:line="263" w:lineRule="auto"/>
        <w:tabs>
          <w:tab w:leader="none" w:pos="1500" w:val="left"/>
        </w:tabs>
        <w:rPr>
          <w:rFonts w:ascii="Arial" w:cs="Arial" w:eastAsia="Arial" w:hAnsi="Arial"/>
          <w:sz w:val="14"/>
          <w:szCs w:val="14"/>
          <w:color w:val="0000FF"/>
        </w:rPr>
      </w:pPr>
      <w:hyperlink r:id="rId190">
        <w:r>
          <w:rPr>
            <w:rFonts w:ascii="Arial" w:cs="Arial" w:eastAsia="Arial" w:hAnsi="Arial"/>
            <w:sz w:val="14"/>
            <w:szCs w:val="14"/>
            <w:u w:val="single" w:color="auto"/>
            <w:color w:val="0000FF"/>
          </w:rPr>
          <w:t>10.11</w:t>
        </w:r>
      </w:hyperlink>
      <w:r>
        <w:rPr>
          <w:rFonts w:ascii="Arial" w:cs="Arial" w:eastAsia="Arial" w:hAnsi="Arial"/>
          <w:sz w:val="14"/>
          <w:szCs w:val="14"/>
          <w:color w:val="0000FF"/>
        </w:rPr>
        <w:tab/>
        <w:t>Amended and Restated Lease and Development Agreement, effective as of January 1, 2020, by and between Port of Beaumont Navigation District of Jefferson County, Texas, as lessor, and Jefferson 2020 Bond Lessee LLC, as lessee (incorporated by reference to Exhibit 10.18 of Fortress Transportation and Infrastructure Investors LLC’s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098030" cy="3429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098030" cy="342900"/>
                    </a:xfrm>
                    <a:prstGeom prst="rect">
                      <a:avLst/>
                    </a:prstGeom>
                    <a:noFill/>
                  </pic:spPr>
                </pic:pic>
              </a:graphicData>
            </a:graphic>
          </wp:anchor>
        </w:drawing>
      </w:r>
    </w:p>
    <w:p>
      <w:pPr>
        <w:spacing w:after="0" w:line="4" w:lineRule="exact"/>
        <w:rPr>
          <w:rFonts w:ascii="Arial" w:cs="Arial" w:eastAsia="Arial" w:hAnsi="Arial"/>
          <w:sz w:val="14"/>
          <w:szCs w:val="14"/>
          <w:color w:val="auto"/>
        </w:rPr>
      </w:pPr>
    </w:p>
    <w:p>
      <w:pPr>
        <w:jc w:val="both"/>
        <w:ind w:left="1520" w:hanging="530"/>
        <w:spacing w:after="0" w:line="263" w:lineRule="auto"/>
        <w:tabs>
          <w:tab w:leader="none" w:pos="1500" w:val="left"/>
        </w:tabs>
        <w:rPr>
          <w:rFonts w:ascii="Arial" w:cs="Arial" w:eastAsia="Arial" w:hAnsi="Arial"/>
          <w:sz w:val="14"/>
          <w:szCs w:val="14"/>
          <w:color w:val="0000FF"/>
        </w:rPr>
      </w:pPr>
      <w:hyperlink r:id="rId192">
        <w:r>
          <w:rPr>
            <w:rFonts w:ascii="Arial" w:cs="Arial" w:eastAsia="Arial" w:hAnsi="Arial"/>
            <w:sz w:val="14"/>
            <w:szCs w:val="14"/>
            <w:u w:val="single" w:color="auto"/>
            <w:color w:val="0000FF"/>
          </w:rPr>
          <w:t>10.12</w:t>
        </w:r>
      </w:hyperlink>
      <w:r>
        <w:rPr>
          <w:rFonts w:ascii="Arial" w:cs="Arial" w:eastAsia="Arial" w:hAnsi="Arial"/>
          <w:sz w:val="14"/>
          <w:szCs w:val="14"/>
          <w:color w:val="0000FF"/>
        </w:rPr>
        <w:tab/>
        <w:t>Facilities Lease and Development Agreement, dated as of June 1, 2024 and effective as of June 20, 2024, between Jefferson 2020 Bond Lessee LLC and Port of Beaumont Navigation District of Jefferson County, Texas (incorporated by reference to Exhibit 10.2 of the Company’s Current Report on Form 8-K, filed June 20, 2024).</w:t>
      </w:r>
    </w:p>
    <w:p>
      <w:pPr>
        <w:spacing w:after="0" w:line="11" w:lineRule="exact"/>
        <w:rPr>
          <w:rFonts w:ascii="Arial" w:cs="Arial" w:eastAsia="Arial" w:hAnsi="Arial"/>
          <w:sz w:val="14"/>
          <w:szCs w:val="14"/>
          <w:color w:val="auto"/>
        </w:rPr>
      </w:pPr>
    </w:p>
    <w:p>
      <w:pPr>
        <w:jc w:val="both"/>
        <w:ind w:left="1520" w:hanging="530"/>
        <w:spacing w:after="0" w:line="263" w:lineRule="auto"/>
        <w:tabs>
          <w:tab w:leader="none" w:pos="1500" w:val="left"/>
        </w:tabs>
        <w:rPr>
          <w:rFonts w:ascii="Arial" w:cs="Arial" w:eastAsia="Arial" w:hAnsi="Arial"/>
          <w:sz w:val="14"/>
          <w:szCs w:val="14"/>
          <w:color w:val="0000FF"/>
        </w:rPr>
      </w:pPr>
      <w:hyperlink r:id="rId193">
        <w:r>
          <w:rPr>
            <w:rFonts w:ascii="Arial" w:cs="Arial" w:eastAsia="Arial" w:hAnsi="Arial"/>
            <w:sz w:val="14"/>
            <w:szCs w:val="14"/>
            <w:u w:val="single" w:color="auto"/>
            <w:color w:val="0000FF"/>
          </w:rPr>
          <w:t>10.13</w:t>
        </w:r>
      </w:hyperlink>
      <w:r>
        <w:rPr>
          <w:rFonts w:ascii="Arial" w:cs="Arial" w:eastAsia="Arial" w:hAnsi="Arial"/>
          <w:sz w:val="14"/>
          <w:szCs w:val="14"/>
          <w:color w:val="0000FF"/>
        </w:rPr>
        <w:tab/>
        <w:t>Deed of Trust, Security Agreement, Financing Statement and Fixture Filing (JTS Port Property), dated as of June 20, 2024, executed and delivered by Jefferson 2020 Bond Lessee LLC and Jefferson 2020 Bond Borrower LLC, in favor of the trustee named therein for the benefit of the Collateral Agent on behalf of the owners of the Securities (incorporated by reference to Exhibit 10.3 of the Company’s Current Report on Form 8-K, filed June 20, 2024).</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26" w:lineRule="exact"/>
        <w:rPr>
          <w:rFonts w:ascii="Arial" w:cs="Arial" w:eastAsia="Arial" w:hAnsi="Arial"/>
          <w:sz w:val="14"/>
          <w:szCs w:val="14"/>
          <w:color w:val="auto"/>
        </w:rPr>
      </w:pPr>
    </w:p>
    <w:p>
      <w:pPr>
        <w:jc w:val="center"/>
        <w:ind w:right="-79"/>
        <w:spacing w:after="0"/>
        <w:rPr>
          <w:sz w:val="20"/>
          <w:szCs w:val="20"/>
          <w:color w:val="auto"/>
        </w:rPr>
      </w:pPr>
      <w:r>
        <w:rPr>
          <w:rFonts w:ascii="Arial" w:cs="Arial" w:eastAsia="Arial" w:hAnsi="Arial"/>
          <w:sz w:val="14"/>
          <w:szCs w:val="14"/>
          <w:color w:val="auto"/>
        </w:rPr>
        <w:t>113</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9" w:right="419" w:bottom="1440" w:gutter="0" w:footer="0" w:header="0"/>
        </w:sectPr>
      </w:pPr>
    </w:p>
    <w:bookmarkStart w:id="120" w:name="page121"/>
    <w:bookmarkEnd w:id="120"/>
    <w:p>
      <w:pPr>
        <w:ind w:left="554"/>
        <w:spacing w:after="0"/>
        <w:tabs>
          <w:tab w:leader="none" w:pos="5894"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7098030" cy="3511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7098030" cy="351155"/>
                    </a:xfrm>
                    <a:prstGeom prst="rect">
                      <a:avLst/>
                    </a:prstGeom>
                    <a:noFill/>
                  </pic:spPr>
                </pic:pic>
              </a:graphicData>
            </a:graphic>
          </wp:anchor>
        </w:drawing>
      </w:r>
    </w:p>
    <w:p>
      <w:pPr>
        <w:spacing w:after="0" w:line="35" w:lineRule="exact"/>
        <w:rPr>
          <w:sz w:val="20"/>
          <w:szCs w:val="20"/>
          <w:color w:val="auto"/>
        </w:rPr>
      </w:pPr>
    </w:p>
    <w:p>
      <w:pPr>
        <w:jc w:val="both"/>
        <w:ind w:left="1494" w:hanging="530"/>
        <w:spacing w:after="0" w:line="271" w:lineRule="auto"/>
        <w:tabs>
          <w:tab w:leader="none" w:pos="1474" w:val="left"/>
        </w:tabs>
        <w:rPr>
          <w:rFonts w:ascii="Arial" w:cs="Arial" w:eastAsia="Arial" w:hAnsi="Arial"/>
          <w:sz w:val="14"/>
          <w:szCs w:val="14"/>
          <w:color w:val="0000FF"/>
        </w:rPr>
      </w:pPr>
      <w:hyperlink r:id="rId196">
        <w:r>
          <w:rPr>
            <w:rFonts w:ascii="Arial" w:cs="Arial" w:eastAsia="Arial" w:hAnsi="Arial"/>
            <w:sz w:val="14"/>
            <w:szCs w:val="14"/>
            <w:u w:val="single" w:color="auto"/>
            <w:color w:val="0000FF"/>
          </w:rPr>
          <w:t>10.14</w:t>
        </w:r>
      </w:hyperlink>
      <w:r>
        <w:rPr>
          <w:rFonts w:ascii="Arial" w:cs="Arial" w:eastAsia="Arial" w:hAnsi="Arial"/>
          <w:sz w:val="14"/>
          <w:szCs w:val="14"/>
          <w:color w:val="0000FF"/>
        </w:rPr>
        <w:tab/>
        <w:t>Membership Interest Purchase Agreement, dated June 7, 2021, by and between United States Steel Corporation and Percy Acquisition LLC (incorporated by reference to Exhibit 10.1 of Fortress Transportation and Infrastructure Investors LLC’s Current Report on Form 8-K, filed on June 8, 2021).</w:t>
      </w:r>
    </w:p>
    <w:p>
      <w:pPr>
        <w:spacing w:after="0" w:line="176" w:lineRule="exact"/>
        <w:rPr>
          <w:sz w:val="20"/>
          <w:szCs w:val="20"/>
          <w:color w:val="auto"/>
        </w:rPr>
      </w:pPr>
    </w:p>
    <w:p>
      <w:pPr>
        <w:jc w:val="both"/>
        <w:ind w:left="1494" w:hanging="530"/>
        <w:spacing w:after="0" w:line="256" w:lineRule="auto"/>
        <w:tabs>
          <w:tab w:leader="none" w:pos="1474" w:val="left"/>
        </w:tabs>
        <w:rPr>
          <w:rFonts w:ascii="Arial" w:cs="Arial" w:eastAsia="Arial" w:hAnsi="Arial"/>
          <w:sz w:val="14"/>
          <w:szCs w:val="14"/>
          <w:color w:val="0000FF"/>
        </w:rPr>
      </w:pPr>
      <w:hyperlink r:id="rId197">
        <w:r>
          <w:rPr>
            <w:rFonts w:ascii="Arial" w:cs="Arial" w:eastAsia="Arial" w:hAnsi="Arial"/>
            <w:sz w:val="14"/>
            <w:szCs w:val="14"/>
            <w:u w:val="single" w:color="auto"/>
            <w:color w:val="0000FF"/>
          </w:rPr>
          <w:t>10.15</w:t>
        </w:r>
      </w:hyperlink>
      <w:r>
        <w:rPr>
          <w:rFonts w:ascii="Arial" w:cs="Arial" w:eastAsia="Arial" w:hAnsi="Arial"/>
          <w:sz w:val="14"/>
          <w:szCs w:val="14"/>
          <w:color w:val="0000FF"/>
        </w:rPr>
        <w:tab/>
        <w:t>Railway Services Agreement, dated July 28, 2021, by and among United States Steel Corporation, Transtar, LLC, Delray Connecting Railroad Company, Fairfield Southern Company, Inc., Gary Railway Company, Lake Terminal Railroad Company, Texas &amp; Northern Railroad Company and Union Railroad Company, LLC (incorporated by reference to Exhibit 10.22 of Fortress Transportation and Infrastructure Investors LLC’s Quarterly Report on Form 10-Q, filed on 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6985</wp:posOffset>
            </wp:positionV>
            <wp:extent cx="7098030" cy="2400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7098030" cy="240030"/>
                    </a:xfrm>
                    <a:prstGeom prst="rect">
                      <a:avLst/>
                    </a:prstGeom>
                    <a:noFill/>
                  </pic:spPr>
                </pic:pic>
              </a:graphicData>
            </a:graphic>
          </wp:anchor>
        </w:drawing>
      </w:r>
    </w:p>
    <w:p>
      <w:pPr>
        <w:ind w:left="1494" w:hanging="1494"/>
        <w:spacing w:after="0" w:line="281" w:lineRule="auto"/>
        <w:tabs>
          <w:tab w:leader="none" w:pos="963" w:val="left"/>
        </w:tabs>
        <w:numPr>
          <w:ilvl w:val="0"/>
          <w:numId w:val="57"/>
        </w:numPr>
        <w:rPr>
          <w:rFonts w:ascii="Arial" w:cs="Arial" w:eastAsia="Arial" w:hAnsi="Arial"/>
          <w:sz w:val="14"/>
          <w:szCs w:val="14"/>
          <w:color w:val="0000FF"/>
        </w:rPr>
      </w:pPr>
      <w:hyperlink r:id="rId199">
        <w:r>
          <w:rPr>
            <w:rFonts w:ascii="Arial" w:cs="Arial" w:eastAsia="Arial" w:hAnsi="Arial"/>
            <w:sz w:val="14"/>
            <w:szCs w:val="14"/>
            <w:u w:val="single" w:color="auto"/>
            <w:color w:val="0000FF"/>
          </w:rPr>
          <w:t>10.16</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Subscription Agreement (incorporated by reference to Exhibit 10.17 of Amendment No. 2 to the Company’s Registration Statement on Form</w:t>
      </w:r>
      <w:r>
        <w:rPr>
          <w:rFonts w:ascii="Arial" w:cs="Arial" w:eastAsia="Arial" w:hAnsi="Arial"/>
          <w:sz w:val="14"/>
          <w:szCs w:val="14"/>
          <w:color w:val="0000FF"/>
        </w:rPr>
        <w:t xml:space="preserve"> </w:t>
      </w:r>
      <w:r>
        <w:rPr>
          <w:rFonts w:ascii="Arial" w:cs="Arial" w:eastAsia="Arial" w:hAnsi="Arial"/>
          <w:sz w:val="14"/>
          <w:szCs w:val="14"/>
          <w:color w:val="000000"/>
        </w:rPr>
        <w:t>10, filed July 1, 2022).</w:t>
      </w:r>
    </w:p>
    <w:p>
      <w:pPr>
        <w:spacing w:after="0" w:line="1" w:lineRule="exact"/>
        <w:rPr>
          <w:sz w:val="20"/>
          <w:szCs w:val="20"/>
          <w:color w:val="auto"/>
        </w:rPr>
      </w:pPr>
    </w:p>
    <w:p>
      <w:pPr>
        <w:ind w:left="954"/>
        <w:spacing w:after="0"/>
        <w:tabs>
          <w:tab w:leader="none" w:pos="1474" w:val="left"/>
        </w:tabs>
        <w:rPr>
          <w:rFonts w:ascii="Arial" w:cs="Arial" w:eastAsia="Arial" w:hAnsi="Arial"/>
          <w:sz w:val="14"/>
          <w:szCs w:val="14"/>
          <w:color w:val="0000FF"/>
        </w:rPr>
      </w:pPr>
      <w:hyperlink r:id="rId200">
        <w:r>
          <w:rPr>
            <w:rFonts w:ascii="Arial" w:cs="Arial" w:eastAsia="Arial" w:hAnsi="Arial"/>
            <w:sz w:val="14"/>
            <w:szCs w:val="14"/>
            <w:u w:val="single" w:color="auto"/>
            <w:color w:val="0000FF"/>
          </w:rPr>
          <w:t>10.17</w:t>
        </w:r>
      </w:hyperlink>
      <w:r>
        <w:rPr>
          <w:rFonts w:ascii="Arial" w:cs="Arial" w:eastAsia="Arial" w:hAnsi="Arial"/>
          <w:sz w:val="14"/>
          <w:szCs w:val="14"/>
          <w:color w:val="0000FF"/>
        </w:rPr>
        <w:tab/>
        <w:t>Investor Rights Agreement, dated August 1, 2022, between FTAI Infrastructure Inc. and the parties listed thereto (incorporated by reference to Exhibit</w:t>
      </w:r>
    </w:p>
    <w:p>
      <w:pPr>
        <w:spacing w:after="0" w:line="15" w:lineRule="exact"/>
        <w:rPr>
          <w:sz w:val="20"/>
          <w:szCs w:val="20"/>
          <w:color w:val="auto"/>
        </w:rPr>
      </w:pPr>
    </w:p>
    <w:p>
      <w:pPr>
        <w:ind w:left="1494"/>
        <w:spacing w:after="0"/>
        <w:rPr>
          <w:sz w:val="20"/>
          <w:szCs w:val="20"/>
          <w:color w:val="auto"/>
        </w:rPr>
      </w:pPr>
      <w:r>
        <w:rPr>
          <w:rFonts w:ascii="Arial" w:cs="Arial" w:eastAsia="Arial" w:hAnsi="Arial"/>
          <w:sz w:val="14"/>
          <w:szCs w:val="14"/>
          <w:color w:val="auto"/>
        </w:rPr>
        <w:t>10.6 of the Company’s Current Report on Form 8-K, filed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7098030" cy="240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098030" cy="240030"/>
                    </a:xfrm>
                    <a:prstGeom prst="rect">
                      <a:avLst/>
                    </a:prstGeom>
                    <a:noFill/>
                  </pic:spPr>
                </pic:pic>
              </a:graphicData>
            </a:graphic>
          </wp:anchor>
        </w:drawing>
      </w:r>
    </w:p>
    <w:p>
      <w:pPr>
        <w:spacing w:after="0" w:line="21" w:lineRule="exact"/>
        <w:rPr>
          <w:sz w:val="20"/>
          <w:szCs w:val="20"/>
          <w:color w:val="auto"/>
        </w:rPr>
      </w:pPr>
    </w:p>
    <w:p>
      <w:pPr>
        <w:ind w:left="1494" w:hanging="530"/>
        <w:spacing w:after="0" w:line="281" w:lineRule="auto"/>
        <w:tabs>
          <w:tab w:leader="none" w:pos="1474" w:val="left"/>
        </w:tabs>
        <w:rPr>
          <w:rFonts w:ascii="Arial" w:cs="Arial" w:eastAsia="Arial" w:hAnsi="Arial"/>
          <w:sz w:val="14"/>
          <w:szCs w:val="14"/>
          <w:color w:val="0000FF"/>
        </w:rPr>
      </w:pPr>
      <w:hyperlink r:id="rId202">
        <w:r>
          <w:rPr>
            <w:rFonts w:ascii="Arial" w:cs="Arial" w:eastAsia="Arial" w:hAnsi="Arial"/>
            <w:sz w:val="14"/>
            <w:szCs w:val="14"/>
            <w:u w:val="single" w:color="auto"/>
            <w:color w:val="0000FF"/>
          </w:rPr>
          <w:t>10.18</w:t>
        </w:r>
      </w:hyperlink>
      <w:r>
        <w:rPr>
          <w:rFonts w:ascii="Arial" w:cs="Arial" w:eastAsia="Arial" w:hAnsi="Arial"/>
          <w:sz w:val="14"/>
          <w:szCs w:val="14"/>
          <w:color w:val="0000FF"/>
        </w:rPr>
        <w:tab/>
        <w:t>Warrant Agreement, dated August 1, 2022, between FTAI Infrastructure Inc. and American Stock Transfer &amp; Trust Company, LLC, as warrant agent (incorporated by reference to Exhibit 10.5 of the Company’s Current Report on Form 8-K, filed August 1, 2022).</w:t>
      </w:r>
    </w:p>
    <w:p>
      <w:pPr>
        <w:spacing w:after="0" w:line="1" w:lineRule="exact"/>
        <w:rPr>
          <w:sz w:val="20"/>
          <w:szCs w:val="20"/>
          <w:color w:val="auto"/>
        </w:rPr>
      </w:pPr>
    </w:p>
    <w:p>
      <w:pPr>
        <w:ind w:left="1494" w:hanging="530"/>
        <w:spacing w:after="0" w:line="252" w:lineRule="auto"/>
        <w:tabs>
          <w:tab w:leader="none" w:pos="1474" w:val="left"/>
        </w:tabs>
        <w:rPr>
          <w:rFonts w:ascii="Arial" w:cs="Arial" w:eastAsia="Arial" w:hAnsi="Arial"/>
          <w:sz w:val="14"/>
          <w:szCs w:val="14"/>
          <w:color w:val="0000FF"/>
        </w:rPr>
      </w:pPr>
      <w:hyperlink r:id="rId203">
        <w:r>
          <w:rPr>
            <w:rFonts w:ascii="Arial" w:cs="Arial" w:eastAsia="Arial" w:hAnsi="Arial"/>
            <w:sz w:val="14"/>
            <w:szCs w:val="14"/>
            <w:u w:val="single" w:color="auto"/>
            <w:color w:val="0000FF"/>
          </w:rPr>
          <w:t>10.19</w:t>
        </w:r>
      </w:hyperlink>
      <w:r>
        <w:rPr>
          <w:rFonts w:ascii="Arial" w:cs="Arial" w:eastAsia="Arial" w:hAnsi="Arial"/>
          <w:sz w:val="14"/>
          <w:szCs w:val="14"/>
          <w:color w:val="0000FF"/>
        </w:rPr>
        <w:tab/>
        <w:t>Trademark License Agreement, dated as of August 1, 2022, between Fortress Transportation and Infrastructure Investors LLC and FTAI Infrastructure Inc. (incorporated by reference to Exhibit 10.3 of the Company’s Current Report on Form 8-K, filed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wp:posOffset>
            </wp:positionV>
            <wp:extent cx="7098030"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ind w:left="1494" w:hanging="530"/>
        <w:spacing w:after="0" w:line="251" w:lineRule="auto"/>
        <w:tabs>
          <w:tab w:leader="none" w:pos="1474" w:val="left"/>
        </w:tabs>
        <w:rPr>
          <w:rFonts w:ascii="Arial" w:cs="Arial" w:eastAsia="Arial" w:hAnsi="Arial"/>
          <w:sz w:val="14"/>
          <w:szCs w:val="14"/>
          <w:color w:val="0000FF"/>
        </w:rPr>
      </w:pPr>
      <w:hyperlink r:id="rId205">
        <w:r>
          <w:rPr>
            <w:rFonts w:ascii="Arial" w:cs="Arial" w:eastAsia="Arial" w:hAnsi="Arial"/>
            <w:sz w:val="14"/>
            <w:szCs w:val="14"/>
            <w:u w:val="single" w:color="auto"/>
            <w:color w:val="0000FF"/>
          </w:rPr>
          <w:t>10.20</w:t>
        </w:r>
      </w:hyperlink>
      <w:r>
        <w:rPr>
          <w:rFonts w:ascii="Arial" w:cs="Arial" w:eastAsia="Arial" w:hAnsi="Arial"/>
          <w:sz w:val="14"/>
          <w:szCs w:val="14"/>
          <w:color w:val="0000FF"/>
        </w:rPr>
        <w:tab/>
        <w:t>Form of Letter sent to FTAI’s option holders describing the equitable adjustment to FTAI’s options (incorporated by reference to Exhibit 10.7 of the Company’s Current Report on Form 8-K, filed August 1, 2022).</w:t>
      </w:r>
    </w:p>
    <w:p>
      <w:pPr>
        <w:spacing w:after="0" w:line="1" w:lineRule="exact"/>
        <w:rPr>
          <w:sz w:val="20"/>
          <w:szCs w:val="20"/>
          <w:color w:val="auto"/>
        </w:rPr>
      </w:pPr>
    </w:p>
    <w:p>
      <w:pPr>
        <w:ind w:left="954"/>
        <w:spacing w:after="0"/>
        <w:tabs>
          <w:tab w:leader="none" w:pos="1474" w:val="left"/>
        </w:tabs>
        <w:rPr>
          <w:rFonts w:ascii="Arial" w:cs="Arial" w:eastAsia="Arial" w:hAnsi="Arial"/>
          <w:sz w:val="14"/>
          <w:szCs w:val="14"/>
          <w:color w:val="0000FF"/>
        </w:rPr>
      </w:pPr>
      <w:hyperlink r:id="rId206">
        <w:r>
          <w:rPr>
            <w:rFonts w:ascii="Arial" w:cs="Arial" w:eastAsia="Arial" w:hAnsi="Arial"/>
            <w:sz w:val="14"/>
            <w:szCs w:val="14"/>
            <w:u w:val="single" w:color="auto"/>
            <w:color w:val="0000FF"/>
          </w:rPr>
          <w:t>10.21</w:t>
        </w:r>
      </w:hyperlink>
      <w:r>
        <w:rPr>
          <w:rFonts w:ascii="Arial" w:cs="Arial" w:eastAsia="Arial" w:hAnsi="Arial"/>
          <w:sz w:val="14"/>
          <w:szCs w:val="14"/>
          <w:color w:val="0000FF"/>
        </w:rPr>
        <w:tab/>
        <w:t>Investor Rights Agreement, dated as of February 26, 2025, by and among FTAI Infrastructure Inc., Labor Impact Fund, L.P., LIF AIV 1, L.P., Labor</w:t>
      </w:r>
    </w:p>
    <w:p>
      <w:pPr>
        <w:ind w:left="1494"/>
        <w:spacing w:after="0" w:line="231" w:lineRule="auto"/>
        <w:rPr>
          <w:sz w:val="20"/>
          <w:szCs w:val="20"/>
          <w:color w:val="auto"/>
        </w:rPr>
      </w:pPr>
      <w:r>
        <w:rPr>
          <w:rFonts w:ascii="Arial" w:cs="Arial" w:eastAsia="Arial" w:hAnsi="Arial"/>
          <w:sz w:val="14"/>
          <w:szCs w:val="14"/>
          <w:color w:val="auto"/>
        </w:rPr>
        <w:t>Impact Feeder Fund, L.P. and Labor Impact Real Estate (Cayman) Holdings, L.P (incorporated by reference to Exhibit 10.1 of the Company’s Current Report on Form 8-K, filed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wp:posOffset>
            </wp:positionV>
            <wp:extent cx="7098030" cy="3086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ind w:left="954"/>
        <w:spacing w:after="0"/>
        <w:tabs>
          <w:tab w:leader="none" w:pos="1474" w:val="left"/>
        </w:tabs>
        <w:rPr>
          <w:rFonts w:ascii="Arial" w:cs="Arial" w:eastAsia="Arial" w:hAnsi="Arial"/>
          <w:sz w:val="14"/>
          <w:szCs w:val="14"/>
          <w:color w:val="0000FF"/>
        </w:rPr>
      </w:pPr>
      <w:hyperlink r:id="rId208">
        <w:r>
          <w:rPr>
            <w:rFonts w:ascii="Arial" w:cs="Arial" w:eastAsia="Arial" w:hAnsi="Arial"/>
            <w:sz w:val="14"/>
            <w:szCs w:val="14"/>
            <w:u w:val="single" w:color="auto"/>
            <w:color w:val="0000FF"/>
          </w:rPr>
          <w:t>10.22</w:t>
        </w:r>
      </w:hyperlink>
      <w:r>
        <w:rPr>
          <w:rFonts w:ascii="Arial" w:cs="Arial" w:eastAsia="Arial" w:hAnsi="Arial"/>
          <w:sz w:val="14"/>
          <w:szCs w:val="14"/>
          <w:color w:val="0000FF"/>
        </w:rPr>
        <w:tab/>
        <w:t>Amended and Restated Warrant Agreement, dated as of February 26, 2025, by and between FTAI Infrastructure Inc. and Equiniti Trust Company, LLC</w:t>
      </w:r>
    </w:p>
    <w:p>
      <w:pPr>
        <w:spacing w:after="0" w:line="2" w:lineRule="exact"/>
        <w:rPr>
          <w:sz w:val="20"/>
          <w:szCs w:val="20"/>
          <w:color w:val="auto"/>
        </w:rPr>
      </w:pPr>
    </w:p>
    <w:p>
      <w:pPr>
        <w:ind w:left="1494"/>
        <w:spacing w:after="0" w:line="231" w:lineRule="auto"/>
        <w:rPr>
          <w:sz w:val="20"/>
          <w:szCs w:val="20"/>
          <w:color w:val="auto"/>
        </w:rPr>
      </w:pPr>
      <w:r>
        <w:rPr>
          <w:rFonts w:ascii="Arial" w:cs="Arial" w:eastAsia="Arial" w:hAnsi="Arial"/>
          <w:sz w:val="14"/>
          <w:szCs w:val="14"/>
          <w:color w:val="auto"/>
        </w:rPr>
        <w:t>(f/k/a American Stock Transfer &amp; Trust Company, LLC) (incorporated by reference to Exhibit 10.2 of the Company’s Current Report on Form 8-K, filed February 27, 2025).</w:t>
      </w:r>
    </w:p>
    <w:p>
      <w:pPr>
        <w:spacing w:after="0" w:line="14" w:lineRule="exact"/>
        <w:rPr>
          <w:sz w:val="20"/>
          <w:szCs w:val="20"/>
          <w:color w:val="auto"/>
        </w:rPr>
      </w:pPr>
    </w:p>
    <w:p>
      <w:pPr>
        <w:ind w:left="954"/>
        <w:spacing w:after="0"/>
        <w:tabs>
          <w:tab w:leader="none" w:pos="1474" w:val="left"/>
        </w:tabs>
        <w:rPr>
          <w:rFonts w:ascii="Arial" w:cs="Arial" w:eastAsia="Arial" w:hAnsi="Arial"/>
          <w:sz w:val="14"/>
          <w:szCs w:val="14"/>
          <w:color w:val="0000FF"/>
        </w:rPr>
      </w:pPr>
      <w:hyperlink r:id="rId209">
        <w:r>
          <w:rPr>
            <w:rFonts w:ascii="Arial" w:cs="Arial" w:eastAsia="Arial" w:hAnsi="Arial"/>
            <w:sz w:val="14"/>
            <w:szCs w:val="14"/>
            <w:u w:val="single" w:color="auto"/>
            <w:color w:val="0000FF"/>
          </w:rPr>
          <w:t>10.23</w:t>
        </w:r>
      </w:hyperlink>
      <w:r>
        <w:rPr>
          <w:rFonts w:ascii="Arial" w:cs="Arial" w:eastAsia="Arial" w:hAnsi="Arial"/>
          <w:sz w:val="14"/>
          <w:szCs w:val="14"/>
          <w:color w:val="0000FF"/>
        </w:rPr>
        <w:tab/>
        <w:t>Credit Agreement, dated as of February 19, 2025, among Long Ridge Energy LLC, Long Ridge Energy Generation LLC, Ohio GasCo LC, Citizens</w:t>
      </w:r>
    </w:p>
    <w:p>
      <w:pPr>
        <w:spacing w:after="0" w:line="2" w:lineRule="exact"/>
        <w:rPr>
          <w:sz w:val="20"/>
          <w:szCs w:val="20"/>
          <w:color w:val="auto"/>
        </w:rPr>
      </w:pPr>
    </w:p>
    <w:p>
      <w:pPr>
        <w:ind w:left="1494"/>
        <w:spacing w:after="0" w:line="211" w:lineRule="auto"/>
        <w:rPr>
          <w:sz w:val="20"/>
          <w:szCs w:val="20"/>
          <w:color w:val="auto"/>
        </w:rPr>
      </w:pPr>
      <w:r>
        <w:rPr>
          <w:rFonts w:ascii="Arial" w:cs="Arial" w:eastAsia="Arial" w:hAnsi="Arial"/>
          <w:sz w:val="14"/>
          <w:szCs w:val="14"/>
          <w:color w:val="auto"/>
        </w:rPr>
        <w:t>Bank, N.A., as Administrative Agent, U.S. Bank Trust Company, National Association, as collateral agent, Morgan Stanley Senior Funding, Inc., as sole lead arranger and bookrunner, and the various lenders party thereto (incorporated by reference to Exhibit 10.1 of the Company’s Current Report on</w:t>
      </w:r>
    </w:p>
    <w:p>
      <w:pPr>
        <w:ind w:left="1494"/>
        <w:spacing w:after="0"/>
        <w:rPr>
          <w:sz w:val="20"/>
          <w:szCs w:val="20"/>
          <w:color w:val="auto"/>
        </w:rPr>
      </w:pPr>
      <w:r>
        <w:rPr>
          <w:rFonts w:ascii="Arial" w:cs="Arial" w:eastAsia="Arial" w:hAnsi="Arial"/>
          <w:sz w:val="14"/>
          <w:szCs w:val="14"/>
          <w:color w:val="auto"/>
        </w:rPr>
        <w:t>Form 8-K, filed 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098030" cy="3086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spacing w:after="0" w:line="8" w:lineRule="exact"/>
        <w:rPr>
          <w:sz w:val="20"/>
          <w:szCs w:val="20"/>
          <w:color w:val="auto"/>
        </w:rPr>
      </w:pPr>
    </w:p>
    <w:p>
      <w:pPr>
        <w:ind w:left="1494" w:hanging="1494"/>
        <w:spacing w:after="0" w:line="235" w:lineRule="auto"/>
        <w:tabs>
          <w:tab w:leader="none" w:pos="963" w:val="left"/>
        </w:tabs>
        <w:numPr>
          <w:ilvl w:val="0"/>
          <w:numId w:val="58"/>
        </w:numPr>
        <w:rPr>
          <w:rFonts w:ascii="Arial" w:cs="Arial" w:eastAsia="Arial" w:hAnsi="Arial"/>
          <w:sz w:val="14"/>
          <w:szCs w:val="14"/>
          <w:color w:val="0000FF"/>
        </w:rPr>
      </w:pPr>
      <w:hyperlink r:id="rId211">
        <w:r>
          <w:rPr>
            <w:rFonts w:ascii="Arial" w:cs="Arial" w:eastAsia="Arial" w:hAnsi="Arial"/>
            <w:sz w:val="14"/>
            <w:szCs w:val="14"/>
            <w:u w:val="single" w:color="auto"/>
            <w:color w:val="0000FF"/>
          </w:rPr>
          <w:t>10.24</w:t>
        </w:r>
        <w:r>
          <w:rPr>
            <w:rFonts w:ascii="Arial" w:cs="Arial" w:eastAsia="Arial" w:hAnsi="Arial"/>
            <w:sz w:val="14"/>
            <w:szCs w:val="14"/>
            <w:color w:val="0000FF"/>
          </w:rPr>
          <w:t xml:space="preserve"> </w:t>
        </w:r>
      </w:hyperlink>
      <w:r>
        <w:rPr>
          <w:rFonts w:ascii="Arial" w:cs="Arial" w:eastAsia="Arial" w:hAnsi="Arial"/>
          <w:sz w:val="14"/>
          <w:szCs w:val="14"/>
          <w:color w:val="000000"/>
        </w:rPr>
        <w:t>Collateral</w:t>
      </w:r>
      <w:r>
        <w:rPr>
          <w:rFonts w:ascii="Arial" w:cs="Arial" w:eastAsia="Arial" w:hAnsi="Arial"/>
          <w:sz w:val="14"/>
          <w:szCs w:val="14"/>
          <w:color w:val="0000FF"/>
        </w:rPr>
        <w:t xml:space="preserve"> </w:t>
      </w:r>
      <w:r>
        <w:rPr>
          <w:rFonts w:ascii="Arial" w:cs="Arial" w:eastAsia="Arial" w:hAnsi="Arial"/>
          <w:sz w:val="14"/>
          <w:szCs w:val="14"/>
          <w:color w:val="000000"/>
        </w:rPr>
        <w:t>Agency, Intercreditor and Accounts Agreement, dated as of May 28, 2025, by and among DRP Urban Renewal 4, LLC, Delaware River</w:t>
      </w:r>
      <w:r>
        <w:rPr>
          <w:rFonts w:ascii="Arial" w:cs="Arial" w:eastAsia="Arial" w:hAnsi="Arial"/>
          <w:sz w:val="14"/>
          <w:szCs w:val="14"/>
          <w:color w:val="0000FF"/>
        </w:rPr>
        <w:t xml:space="preserve"> </w:t>
      </w:r>
      <w:r>
        <w:rPr>
          <w:rFonts w:ascii="Arial" w:cs="Arial" w:eastAsia="Arial" w:hAnsi="Arial"/>
          <w:sz w:val="14"/>
          <w:szCs w:val="14"/>
          <w:color w:val="000000"/>
        </w:rPr>
        <w:t>Partners LLC, the other Repauno Entities (as defined therein), Repauno Financing Holdco LLC, UMB Bank, N.A., and Deutsche Bank Trust Company Americas (incorporated by reference to Exhibit 10.1 of the Company’s Current Report on Form 8-K, filed June 3, 2025).</w:t>
      </w:r>
    </w:p>
    <w:p>
      <w:pPr>
        <w:spacing w:after="0" w:line="13" w:lineRule="exact"/>
        <w:rPr>
          <w:sz w:val="20"/>
          <w:szCs w:val="20"/>
          <w:color w:val="auto"/>
        </w:rPr>
      </w:pPr>
    </w:p>
    <w:p>
      <w:pPr>
        <w:ind w:left="1494" w:hanging="530"/>
        <w:spacing w:after="0" w:line="252" w:lineRule="auto"/>
        <w:tabs>
          <w:tab w:leader="none" w:pos="1474" w:val="left"/>
        </w:tabs>
        <w:rPr>
          <w:rFonts w:ascii="Arial" w:cs="Arial" w:eastAsia="Arial" w:hAnsi="Arial"/>
          <w:sz w:val="14"/>
          <w:szCs w:val="14"/>
          <w:color w:val="0000FF"/>
        </w:rPr>
      </w:pPr>
      <w:hyperlink r:id="rId212">
        <w:r>
          <w:rPr>
            <w:rFonts w:ascii="Arial" w:cs="Arial" w:eastAsia="Arial" w:hAnsi="Arial"/>
            <w:sz w:val="14"/>
            <w:szCs w:val="14"/>
            <w:u w:val="single" w:color="auto"/>
            <w:color w:val="0000FF"/>
          </w:rPr>
          <w:t>10.25</w:t>
        </w:r>
      </w:hyperlink>
      <w:r>
        <w:rPr>
          <w:rFonts w:ascii="Arial" w:cs="Arial" w:eastAsia="Arial" w:hAnsi="Arial"/>
          <w:sz w:val="14"/>
          <w:szCs w:val="14"/>
          <w:color w:val="0000FF"/>
        </w:rPr>
        <w:tab/>
        <w:t>Lease Agreement, dated as of May 28, 2025, by and between DRP Urban Renewal 4, LLC and the New Jersey Economic Development Authority (incorporated by reference to Exhibit 10.2 of the Company’s Current Report on Form 8-K, filed June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wp:posOffset>
            </wp:positionV>
            <wp:extent cx="7098030" cy="3086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ind w:left="954"/>
        <w:spacing w:after="0"/>
        <w:tabs>
          <w:tab w:leader="none" w:pos="1474" w:val="left"/>
        </w:tabs>
        <w:rPr>
          <w:rFonts w:ascii="Arial" w:cs="Arial" w:eastAsia="Arial" w:hAnsi="Arial"/>
          <w:sz w:val="14"/>
          <w:szCs w:val="14"/>
          <w:color w:val="0000FF"/>
        </w:rPr>
      </w:pPr>
      <w:hyperlink r:id="rId214">
        <w:r>
          <w:rPr>
            <w:rFonts w:ascii="Arial" w:cs="Arial" w:eastAsia="Arial" w:hAnsi="Arial"/>
            <w:sz w:val="14"/>
            <w:szCs w:val="14"/>
            <w:u w:val="single" w:color="auto"/>
            <w:color w:val="0000FF"/>
          </w:rPr>
          <w:t>10.26</w:t>
        </w:r>
      </w:hyperlink>
      <w:r>
        <w:rPr>
          <w:rFonts w:ascii="Arial" w:cs="Arial" w:eastAsia="Arial" w:hAnsi="Arial"/>
          <w:sz w:val="14"/>
          <w:szCs w:val="14"/>
          <w:color w:val="0000FF"/>
        </w:rPr>
        <w:tab/>
        <w:t>Mortgage, Assignment of Leases and Rents, Security Agreement and Fixture Filing, dated as of May 28, 2025, executed and delivered by DRP Urban</w:t>
      </w:r>
    </w:p>
    <w:p>
      <w:pPr>
        <w:ind w:left="1494"/>
        <w:spacing w:after="0" w:line="231" w:lineRule="auto"/>
        <w:rPr>
          <w:sz w:val="20"/>
          <w:szCs w:val="20"/>
          <w:color w:val="auto"/>
        </w:rPr>
      </w:pPr>
      <w:r>
        <w:rPr>
          <w:rFonts w:ascii="Arial" w:cs="Arial" w:eastAsia="Arial" w:hAnsi="Arial"/>
          <w:sz w:val="14"/>
          <w:szCs w:val="14"/>
          <w:color w:val="auto"/>
        </w:rPr>
        <w:t>Renewal 4, LLC, Delaware River Partners LLC, and the other Grantors (as defined therein) in favor of the collateral agent named therein for the behalf of the owners of the Series 2025 Bonds (incorporated by reference to Exhibit 10.3 of the Company’s Current Report on Form 8-K, filed June 3, 2025).</w:t>
      </w:r>
    </w:p>
    <w:p>
      <w:pPr>
        <w:spacing w:after="0" w:line="14" w:lineRule="exact"/>
        <w:rPr>
          <w:sz w:val="20"/>
          <w:szCs w:val="20"/>
          <w:color w:val="auto"/>
        </w:rPr>
      </w:pPr>
    </w:p>
    <w:p>
      <w:pPr>
        <w:ind w:left="1494" w:hanging="1494"/>
        <w:spacing w:after="0" w:line="235" w:lineRule="auto"/>
        <w:tabs>
          <w:tab w:leader="none" w:pos="963" w:val="left"/>
        </w:tabs>
        <w:numPr>
          <w:ilvl w:val="0"/>
          <w:numId w:val="59"/>
        </w:numPr>
        <w:rPr>
          <w:rFonts w:ascii="Arial" w:cs="Arial" w:eastAsia="Arial" w:hAnsi="Arial"/>
          <w:sz w:val="14"/>
          <w:szCs w:val="14"/>
          <w:color w:val="0000FF"/>
        </w:rPr>
      </w:pPr>
      <w:hyperlink r:id="rId215">
        <w:r>
          <w:rPr>
            <w:rFonts w:ascii="Arial" w:cs="Arial" w:eastAsia="Arial" w:hAnsi="Arial"/>
            <w:sz w:val="14"/>
            <w:szCs w:val="14"/>
            <w:u w:val="single" w:color="auto"/>
            <w:color w:val="0000FF"/>
          </w:rPr>
          <w:t>10.27</w:t>
        </w:r>
        <w:r>
          <w:rPr>
            <w:rFonts w:ascii="Arial" w:cs="Arial" w:eastAsia="Arial" w:hAnsi="Arial"/>
            <w:sz w:val="14"/>
            <w:szCs w:val="14"/>
            <w:color w:val="0000FF"/>
          </w:rPr>
          <w:t xml:space="preserve"> </w:t>
        </w:r>
      </w:hyperlink>
      <w:r>
        <w:rPr>
          <w:rFonts w:ascii="Arial" w:cs="Arial" w:eastAsia="Arial" w:hAnsi="Arial"/>
          <w:sz w:val="14"/>
          <w:szCs w:val="14"/>
          <w:color w:val="000000"/>
        </w:rPr>
        <w:t>Senior</w:t>
      </w:r>
      <w:r>
        <w:rPr>
          <w:rFonts w:ascii="Arial" w:cs="Arial" w:eastAsia="Arial" w:hAnsi="Arial"/>
          <w:sz w:val="14"/>
          <w:szCs w:val="14"/>
          <w:color w:val="0000FF"/>
        </w:rPr>
        <w:t xml:space="preserve"> </w:t>
      </w:r>
      <w:r>
        <w:rPr>
          <w:rFonts w:ascii="Arial" w:cs="Arial" w:eastAsia="Arial" w:hAnsi="Arial"/>
          <w:sz w:val="14"/>
          <w:szCs w:val="14"/>
          <w:color w:val="000000"/>
        </w:rPr>
        <w:t>Secured Credit Agreement, dated as of May 28, 2025, by and among DRP Urban Renewal 4, LLC, Delaware River Partners LLC, Deutsche</w:t>
      </w:r>
      <w:r>
        <w:rPr>
          <w:rFonts w:ascii="Arial" w:cs="Arial" w:eastAsia="Arial" w:hAnsi="Arial"/>
          <w:sz w:val="14"/>
          <w:szCs w:val="14"/>
          <w:color w:val="0000FF"/>
        </w:rPr>
        <w:t xml:space="preserve"> </w:t>
      </w:r>
      <w:r>
        <w:rPr>
          <w:rFonts w:ascii="Arial" w:cs="Arial" w:eastAsia="Arial" w:hAnsi="Arial"/>
          <w:sz w:val="14"/>
          <w:szCs w:val="14"/>
          <w:color w:val="000000"/>
        </w:rPr>
        <w:t>Bank Company Americas, Deutsche Bank AG, New York Branch, and the several lenders party from time to time thereto (incorporated by reference to Exhibit 10.4 of the Company’s Current Report on Form 8-K, filed June 3, 2025).</w:t>
      </w:r>
    </w:p>
    <w:p>
      <w:pPr>
        <w:spacing w:after="0" w:line="13" w:lineRule="exact"/>
        <w:rPr>
          <w:rFonts w:ascii="Arial" w:cs="Arial" w:eastAsia="Arial" w:hAnsi="Arial"/>
          <w:sz w:val="14"/>
          <w:szCs w:val="14"/>
          <w:color w:val="0000FF"/>
        </w:rPr>
      </w:pPr>
    </w:p>
    <w:p>
      <w:pPr>
        <w:ind w:left="1494" w:hanging="1494"/>
        <w:spacing w:after="0" w:line="235" w:lineRule="auto"/>
        <w:tabs>
          <w:tab w:leader="none" w:pos="963" w:val="left"/>
        </w:tabs>
        <w:numPr>
          <w:ilvl w:val="0"/>
          <w:numId w:val="59"/>
        </w:numPr>
        <w:rPr>
          <w:rFonts w:ascii="Arial" w:cs="Arial" w:eastAsia="Arial" w:hAnsi="Arial"/>
          <w:sz w:val="14"/>
          <w:szCs w:val="14"/>
          <w:color w:val="0000FF"/>
        </w:rPr>
      </w:pPr>
      <w:hyperlink r:id="rId216">
        <w:r>
          <w:rPr>
            <w:rFonts w:ascii="Arial" w:cs="Arial" w:eastAsia="Arial" w:hAnsi="Arial"/>
            <w:sz w:val="14"/>
            <w:szCs w:val="14"/>
            <w:u w:val="single" w:color="auto"/>
            <w:color w:val="0000FF"/>
          </w:rPr>
          <w:t>10.28</w:t>
        </w:r>
        <w:r>
          <w:rPr>
            <w:rFonts w:ascii="Arial" w:cs="Arial" w:eastAsia="Arial" w:hAnsi="Arial"/>
            <w:sz w:val="14"/>
            <w:szCs w:val="14"/>
            <w:color w:val="0000FF"/>
          </w:rPr>
          <w:t xml:space="preserve"> </w:t>
        </w:r>
      </w:hyperlink>
      <w:r>
        <w:rPr>
          <w:rFonts w:ascii="Arial" w:cs="Arial" w:eastAsia="Arial" w:hAnsi="Arial"/>
          <w:sz w:val="14"/>
          <w:szCs w:val="14"/>
          <w:color w:val="000000"/>
        </w:rPr>
        <w:t>Credit</w:t>
      </w:r>
      <w:r>
        <w:rPr>
          <w:rFonts w:ascii="Arial" w:cs="Arial" w:eastAsia="Arial" w:hAnsi="Arial"/>
          <w:sz w:val="14"/>
          <w:szCs w:val="14"/>
          <w:color w:val="0000FF"/>
        </w:rPr>
        <w:t xml:space="preserve"> </w:t>
      </w:r>
      <w:r>
        <w:rPr>
          <w:rFonts w:ascii="Arial" w:cs="Arial" w:eastAsia="Arial" w:hAnsi="Arial"/>
          <w:sz w:val="14"/>
          <w:szCs w:val="14"/>
          <w:color w:val="000000"/>
        </w:rPr>
        <w:t>Agreement, dated as of August 25, 2025, among FTAI Infrastructure Inc., the guarantors from time to time party thereto, the Lenders from time to</w:t>
      </w:r>
      <w:r>
        <w:rPr>
          <w:rFonts w:ascii="Arial" w:cs="Arial" w:eastAsia="Arial" w:hAnsi="Arial"/>
          <w:sz w:val="14"/>
          <w:szCs w:val="14"/>
          <w:color w:val="0000FF"/>
        </w:rPr>
        <w:t xml:space="preserve"> </w:t>
      </w:r>
      <w:r>
        <w:rPr>
          <w:rFonts w:ascii="Arial" w:cs="Arial" w:eastAsia="Arial" w:hAnsi="Arial"/>
          <w:sz w:val="14"/>
          <w:szCs w:val="14"/>
          <w:color w:val="000000"/>
        </w:rPr>
        <w:t>time party thereto and BARCLAYS, as administrative agent (incorporated by reference to Exhibit 10.1 of the Company’s Current Report on Form 8-K, filed August 25, 2025).</w:t>
      </w:r>
    </w:p>
    <w:p>
      <w:pPr>
        <w:spacing w:after="0" w:line="13" w:lineRule="exact"/>
        <w:rPr>
          <w:rFonts w:ascii="Arial" w:cs="Arial" w:eastAsia="Arial" w:hAnsi="Arial"/>
          <w:sz w:val="14"/>
          <w:szCs w:val="14"/>
          <w:color w:val="0000FF"/>
        </w:rPr>
      </w:pPr>
    </w:p>
    <w:p>
      <w:pPr>
        <w:ind w:left="1494" w:hanging="1494"/>
        <w:spacing w:after="0" w:line="235" w:lineRule="auto"/>
        <w:tabs>
          <w:tab w:leader="none" w:pos="963" w:val="left"/>
        </w:tabs>
        <w:numPr>
          <w:ilvl w:val="0"/>
          <w:numId w:val="59"/>
        </w:numPr>
        <w:rPr>
          <w:rFonts w:ascii="Arial" w:cs="Arial" w:eastAsia="Arial" w:hAnsi="Arial"/>
          <w:sz w:val="14"/>
          <w:szCs w:val="14"/>
          <w:color w:val="0000FF"/>
        </w:rPr>
      </w:pPr>
      <w:hyperlink r:id="rId217">
        <w:r>
          <w:rPr>
            <w:rFonts w:ascii="Arial" w:cs="Arial" w:eastAsia="Arial" w:hAnsi="Arial"/>
            <w:sz w:val="14"/>
            <w:szCs w:val="14"/>
            <w:u w:val="single" w:color="auto"/>
            <w:color w:val="0000FF"/>
          </w:rPr>
          <w:t>10.29</w:t>
        </w:r>
        <w:r>
          <w:rPr>
            <w:rFonts w:ascii="Arial" w:cs="Arial" w:eastAsia="Arial" w:hAnsi="Arial"/>
            <w:sz w:val="14"/>
            <w:szCs w:val="14"/>
            <w:color w:val="0000FF"/>
          </w:rPr>
          <w:t xml:space="preserve"> </w:t>
        </w:r>
      </w:hyperlink>
      <w:r>
        <w:rPr>
          <w:rFonts w:ascii="Arial" w:cs="Arial" w:eastAsia="Arial" w:hAnsi="Arial"/>
          <w:sz w:val="14"/>
          <w:szCs w:val="14"/>
          <w:color w:val="000000"/>
        </w:rPr>
        <w:t>Amended</w:t>
      </w:r>
      <w:r>
        <w:rPr>
          <w:rFonts w:ascii="Arial" w:cs="Arial" w:eastAsia="Arial" w:hAnsi="Arial"/>
          <w:sz w:val="14"/>
          <w:szCs w:val="14"/>
          <w:color w:val="0000FF"/>
        </w:rPr>
        <w:t xml:space="preserve"> </w:t>
      </w:r>
      <w:r>
        <w:rPr>
          <w:rFonts w:ascii="Arial" w:cs="Arial" w:eastAsia="Arial" w:hAnsi="Arial"/>
          <w:sz w:val="14"/>
          <w:szCs w:val="14"/>
          <w:color w:val="000000"/>
        </w:rPr>
        <w:t>and Restated Limited Liability Company Agreement of FIP RR Holdings LLC, dated as of August 25, 2025, by and among FIP RR Holdings</w:t>
      </w:r>
      <w:r>
        <w:rPr>
          <w:rFonts w:ascii="Arial" w:cs="Arial" w:eastAsia="Arial" w:hAnsi="Arial"/>
          <w:sz w:val="14"/>
          <w:szCs w:val="14"/>
          <w:color w:val="0000FF"/>
        </w:rPr>
        <w:t xml:space="preserve"> </w:t>
      </w:r>
      <w:r>
        <w:rPr>
          <w:rFonts w:ascii="Arial" w:cs="Arial" w:eastAsia="Arial" w:hAnsi="Arial"/>
          <w:sz w:val="14"/>
          <w:szCs w:val="14"/>
          <w:color w:val="000000"/>
        </w:rPr>
        <w:t>LLC, FTAI Infrastructure Inc. (solely with respect to Section 2.3(c) and Section 12.21) and the other parties thereto (incorporated by reference to Exhibit 10.1 of the Company’s Current Report on Form 8-K, filed August 25, 2025).</w:t>
      </w:r>
    </w:p>
    <w:p>
      <w:pPr>
        <w:spacing w:after="0" w:line="13" w:lineRule="exact"/>
        <w:rPr>
          <w:rFonts w:ascii="Arial" w:cs="Arial" w:eastAsia="Arial" w:hAnsi="Arial"/>
          <w:sz w:val="14"/>
          <w:szCs w:val="14"/>
          <w:color w:val="0000FF"/>
        </w:rPr>
      </w:pPr>
    </w:p>
    <w:p>
      <w:pPr>
        <w:ind w:left="1494" w:hanging="1494"/>
        <w:spacing w:after="0"/>
        <w:tabs>
          <w:tab w:leader="none" w:pos="963" w:val="left"/>
        </w:tabs>
        <w:numPr>
          <w:ilvl w:val="0"/>
          <w:numId w:val="59"/>
        </w:numPr>
        <w:rPr>
          <w:rFonts w:ascii="Arial" w:cs="Arial" w:eastAsia="Arial" w:hAnsi="Arial"/>
          <w:sz w:val="14"/>
          <w:szCs w:val="14"/>
          <w:color w:val="0000FF"/>
        </w:rPr>
      </w:pPr>
      <w:hyperlink r:id="rId218">
        <w:r>
          <w:rPr>
            <w:rFonts w:ascii="Arial" w:cs="Arial" w:eastAsia="Arial" w:hAnsi="Arial"/>
            <w:sz w:val="14"/>
            <w:szCs w:val="14"/>
            <w:u w:val="single" w:color="auto"/>
            <w:color w:val="0000FF"/>
          </w:rPr>
          <w:t>10.30</w:t>
        </w:r>
        <w:r>
          <w:rPr>
            <w:rFonts w:ascii="Arial" w:cs="Arial" w:eastAsia="Arial" w:hAnsi="Arial"/>
            <w:sz w:val="14"/>
            <w:szCs w:val="14"/>
            <w:color w:val="0000FF"/>
          </w:rPr>
          <w:t xml:space="preserve"> </w:t>
        </w:r>
      </w:hyperlink>
      <w:r>
        <w:rPr>
          <w:rFonts w:ascii="Arial" w:cs="Arial" w:eastAsia="Arial" w:hAnsi="Arial"/>
          <w:sz w:val="14"/>
          <w:szCs w:val="14"/>
          <w:color w:val="000000"/>
        </w:rPr>
        <w:t>Warrant</w:t>
      </w:r>
      <w:r>
        <w:rPr>
          <w:rFonts w:ascii="Arial" w:cs="Arial" w:eastAsia="Arial" w:hAnsi="Arial"/>
          <w:sz w:val="14"/>
          <w:szCs w:val="14"/>
          <w:color w:val="0000FF"/>
        </w:rPr>
        <w:t xml:space="preserve"> </w:t>
      </w:r>
      <w:r>
        <w:rPr>
          <w:rFonts w:ascii="Arial" w:cs="Arial" w:eastAsia="Arial" w:hAnsi="Arial"/>
          <w:sz w:val="14"/>
          <w:szCs w:val="14"/>
          <w:color w:val="000000"/>
        </w:rPr>
        <w:t>Agreement, dated as of August 25, 2025, by and among FIP RR Holdings LLC, FTAI Infrastructure Inc. (solely with respect to Section 7 and</w:t>
      </w:r>
      <w:r>
        <w:rPr>
          <w:rFonts w:ascii="Arial" w:cs="Arial" w:eastAsia="Arial" w:hAnsi="Arial"/>
          <w:sz w:val="14"/>
          <w:szCs w:val="14"/>
          <w:color w:val="0000FF"/>
        </w:rPr>
        <w:t xml:space="preserve"> </w:t>
      </w:r>
      <w:r>
        <w:rPr>
          <w:rFonts w:ascii="Arial" w:cs="Arial" w:eastAsia="Arial" w:hAnsi="Arial"/>
          <w:sz w:val="14"/>
          <w:szCs w:val="14"/>
          <w:color w:val="000000"/>
        </w:rPr>
        <w:t>Section 14) and the holders party thereto (incorporated by reference to Exhibit 10.1 of the Company’s Current Report on Form 8-K, filed August 25, 2025).</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-10795</wp:posOffset>
            </wp:positionH>
            <wp:positionV relativeFrom="paragraph">
              <wp:posOffset>-823595</wp:posOffset>
            </wp:positionV>
            <wp:extent cx="7098030" cy="3086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098030" cy="3086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-206375</wp:posOffset>
            </wp:positionV>
            <wp:extent cx="7098030" cy="3086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spacing w:after="0" w:line="144" w:lineRule="exact"/>
        <w:rPr>
          <w:rFonts w:ascii="Arial" w:cs="Arial" w:eastAsia="Arial" w:hAnsi="Arial"/>
          <w:sz w:val="14"/>
          <w:szCs w:val="14"/>
          <w:i w:val="1"/>
          <w:iCs w:val="1"/>
          <w:color w:val="auto"/>
        </w:rPr>
      </w:pPr>
    </w:p>
    <w:p>
      <w:pPr>
        <w:ind w:left="1034"/>
        <w:spacing w:after="0"/>
        <w:tabs>
          <w:tab w:leader="none" w:pos="1474" w:val="left"/>
        </w:tabs>
        <w:rPr>
          <w:rFonts w:ascii="Arial" w:cs="Arial" w:eastAsia="Arial" w:hAnsi="Arial"/>
          <w:sz w:val="14"/>
          <w:szCs w:val="14"/>
          <w:color w:val="0000FF"/>
        </w:rPr>
      </w:pPr>
      <w:hyperlink r:id="rId221">
        <w:r>
          <w:rPr>
            <w:rFonts w:ascii="Arial" w:cs="Arial" w:eastAsia="Arial" w:hAnsi="Arial"/>
            <w:sz w:val="14"/>
            <w:szCs w:val="14"/>
            <w:u w:val="single" w:color="auto"/>
            <w:color w:val="0000FF"/>
          </w:rPr>
          <w:t>19.1</w:t>
        </w:r>
      </w:hyperlink>
      <w:r>
        <w:rPr>
          <w:rFonts w:ascii="Arial" w:cs="Arial" w:eastAsia="Arial" w:hAnsi="Arial"/>
          <w:sz w:val="14"/>
          <w:szCs w:val="14"/>
          <w:color w:val="0000FF"/>
        </w:rPr>
        <w:tab/>
        <w:t>FTAI Infrastructure Inc. Insider Trading Policy (incorporated by reference to Exhibit 19.1 of the Company’s Annual Report on Form 10-K, filed March 13,</w:t>
      </w:r>
    </w:p>
    <w:p>
      <w:pPr>
        <w:spacing w:after="0" w:line="2" w:lineRule="exact"/>
        <w:rPr>
          <w:rFonts w:ascii="Arial" w:cs="Arial" w:eastAsia="Arial" w:hAnsi="Arial"/>
          <w:sz w:val="14"/>
          <w:szCs w:val="14"/>
          <w:i w:val="1"/>
          <w:iCs w:val="1"/>
          <w:color w:val="auto"/>
        </w:rPr>
      </w:pPr>
    </w:p>
    <w:p>
      <w:pPr>
        <w:ind w:left="1494"/>
        <w:spacing w:after="0"/>
        <w:rPr>
          <w:sz w:val="20"/>
          <w:szCs w:val="20"/>
          <w:color w:val="auto"/>
        </w:rPr>
      </w:pPr>
      <w:r>
        <w:rPr>
          <w:rFonts w:ascii="Arial" w:cs="Arial" w:eastAsia="Arial" w:hAnsi="Arial"/>
          <w:sz w:val="14"/>
          <w:szCs w:val="14"/>
          <w:color w:val="auto"/>
        </w:rPr>
        <w:t>2025).</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98030"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ind w:left="1034"/>
        <w:spacing w:after="0"/>
        <w:tabs>
          <w:tab w:leader="none" w:pos="1474" w:val="left"/>
        </w:tabs>
        <w:rPr>
          <w:sz w:val="20"/>
          <w:szCs w:val="20"/>
          <w:color w:val="auto"/>
        </w:rPr>
      </w:pPr>
      <w:r>
        <w:rPr>
          <w:rFonts w:ascii="Arial" w:cs="Arial" w:eastAsia="Arial" w:hAnsi="Arial"/>
          <w:sz w:val="14"/>
          <w:szCs w:val="14"/>
          <w:u w:val="single" w:color="auto"/>
          <w:color w:val="0000FF"/>
        </w:rPr>
        <w:t>21.1</w:t>
      </w:r>
      <w:r>
        <w:rPr>
          <w:sz w:val="20"/>
          <w:szCs w:val="20"/>
          <w:color w:val="auto"/>
        </w:rPr>
        <w:tab/>
      </w:r>
      <w:r>
        <w:rPr>
          <w:rFonts w:ascii="Arial" w:cs="Arial" w:eastAsia="Arial" w:hAnsi="Arial"/>
          <w:sz w:val="14"/>
          <w:szCs w:val="14"/>
          <w:color w:val="auto"/>
        </w:rPr>
        <w:t>Subsidiaries of FTAI Infrastructure, Inc.</w:t>
      </w:r>
    </w:p>
    <w:p>
      <w:pPr>
        <w:spacing w:after="0" w:line="40" w:lineRule="exact"/>
        <w:rPr>
          <w:rFonts w:ascii="Arial" w:cs="Arial" w:eastAsia="Arial" w:hAnsi="Arial"/>
          <w:sz w:val="14"/>
          <w:szCs w:val="14"/>
          <w:i w:val="1"/>
          <w:iCs w:val="1"/>
          <w:color w:val="auto"/>
        </w:rPr>
      </w:pPr>
    </w:p>
    <w:p>
      <w:pPr>
        <w:ind w:left="1034"/>
        <w:spacing w:after="0"/>
        <w:tabs>
          <w:tab w:leader="none" w:pos="1474" w:val="left"/>
        </w:tabs>
        <w:rPr>
          <w:sz w:val="20"/>
          <w:szCs w:val="20"/>
          <w:color w:val="auto"/>
        </w:rPr>
      </w:pPr>
      <w:r>
        <w:rPr>
          <w:rFonts w:ascii="Arial" w:cs="Arial" w:eastAsia="Arial" w:hAnsi="Arial"/>
          <w:sz w:val="14"/>
          <w:szCs w:val="14"/>
          <w:u w:val="single" w:color="auto"/>
          <w:color w:val="0000FF"/>
        </w:rPr>
        <w:t>23.1</w:t>
      </w:r>
      <w:r>
        <w:rPr>
          <w:sz w:val="20"/>
          <w:szCs w:val="20"/>
          <w:color w:val="auto"/>
        </w:rPr>
        <w:tab/>
      </w:r>
      <w:r>
        <w:rPr>
          <w:rFonts w:ascii="Arial" w:cs="Arial" w:eastAsia="Arial" w:hAnsi="Arial"/>
          <w:sz w:val="14"/>
          <w:szCs w:val="14"/>
          <w:color w:val="auto"/>
        </w:rPr>
        <w:t>Consent of Independent Registered Public Accounting Firm.</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7098030"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2" w:lineRule="exact"/>
        <w:rPr>
          <w:rFonts w:ascii="Arial" w:cs="Arial" w:eastAsia="Arial" w:hAnsi="Arial"/>
          <w:sz w:val="14"/>
          <w:szCs w:val="14"/>
          <w:i w:val="1"/>
          <w:iCs w:val="1"/>
          <w:color w:val="auto"/>
        </w:rPr>
      </w:pPr>
    </w:p>
    <w:p>
      <w:pPr>
        <w:ind w:left="1034"/>
        <w:spacing w:after="0"/>
        <w:tabs>
          <w:tab w:leader="none" w:pos="1474" w:val="left"/>
        </w:tabs>
        <w:rPr>
          <w:sz w:val="20"/>
          <w:szCs w:val="20"/>
          <w:color w:val="auto"/>
        </w:rPr>
      </w:pPr>
      <w:r>
        <w:rPr>
          <w:rFonts w:ascii="Arial" w:cs="Arial" w:eastAsia="Arial" w:hAnsi="Arial"/>
          <w:sz w:val="14"/>
          <w:szCs w:val="14"/>
          <w:u w:val="single" w:color="auto"/>
          <w:color w:val="0000FF"/>
        </w:rPr>
        <w:t>31.1</w:t>
      </w:r>
      <w:r>
        <w:rPr>
          <w:sz w:val="20"/>
          <w:szCs w:val="20"/>
          <w:color w:val="auto"/>
        </w:rPr>
        <w:tab/>
      </w:r>
      <w:r>
        <w:rPr>
          <w:rFonts w:ascii="Arial" w:cs="Arial" w:eastAsia="Arial" w:hAnsi="Arial"/>
          <w:sz w:val="14"/>
          <w:szCs w:val="14"/>
          <w:color w:val="auto"/>
        </w:rPr>
        <w:t>Certification of Chief Executive Officer pursuant to Rule 13a-14(a)/15d-14(a), as adopted pursuant to Section 302 of the Sarbanes-Oxley Act of 2002.</w:t>
      </w:r>
    </w:p>
    <w:p>
      <w:pPr>
        <w:spacing w:after="0" w:line="42" w:lineRule="exact"/>
        <w:rPr>
          <w:rFonts w:ascii="Arial" w:cs="Arial" w:eastAsia="Arial" w:hAnsi="Arial"/>
          <w:sz w:val="14"/>
          <w:szCs w:val="14"/>
          <w:i w:val="1"/>
          <w:iCs w:val="1"/>
          <w:color w:val="auto"/>
        </w:rPr>
      </w:pPr>
    </w:p>
    <w:p>
      <w:pPr>
        <w:ind w:left="1034"/>
        <w:spacing w:after="0"/>
        <w:tabs>
          <w:tab w:leader="none" w:pos="1474" w:val="left"/>
        </w:tabs>
        <w:rPr>
          <w:sz w:val="20"/>
          <w:szCs w:val="20"/>
          <w:color w:val="auto"/>
        </w:rPr>
      </w:pPr>
      <w:r>
        <w:rPr>
          <w:rFonts w:ascii="Arial" w:cs="Arial" w:eastAsia="Arial" w:hAnsi="Arial"/>
          <w:sz w:val="14"/>
          <w:szCs w:val="14"/>
          <w:u w:val="single" w:color="auto"/>
          <w:color w:val="0000FF"/>
        </w:rPr>
        <w:t>31.2</w:t>
      </w:r>
      <w:r>
        <w:rPr>
          <w:sz w:val="20"/>
          <w:szCs w:val="20"/>
          <w:color w:val="auto"/>
        </w:rPr>
        <w:tab/>
      </w:r>
      <w:r>
        <w:rPr>
          <w:rFonts w:ascii="Arial" w:cs="Arial" w:eastAsia="Arial" w:hAnsi="Arial"/>
          <w:sz w:val="14"/>
          <w:szCs w:val="14"/>
          <w:color w:val="auto"/>
        </w:rPr>
        <w:t>Certification of Chief Financial Officer pursuant to Rule 13a-14(a)/15d-14(a), as adopted pursuant to Section 302 of the Sarbanes-Oxley Act of 2002.</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7098030"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2" w:lineRule="exact"/>
        <w:rPr>
          <w:rFonts w:ascii="Arial" w:cs="Arial" w:eastAsia="Arial" w:hAnsi="Arial"/>
          <w:sz w:val="14"/>
          <w:szCs w:val="14"/>
          <w:i w:val="1"/>
          <w:iCs w:val="1"/>
          <w:color w:val="auto"/>
        </w:rPr>
      </w:pPr>
    </w:p>
    <w:p>
      <w:pPr>
        <w:ind w:left="1034"/>
        <w:spacing w:after="0"/>
        <w:tabs>
          <w:tab w:leader="none" w:pos="1474" w:val="left"/>
        </w:tabs>
        <w:rPr>
          <w:sz w:val="20"/>
          <w:szCs w:val="20"/>
          <w:color w:val="auto"/>
        </w:rPr>
      </w:pPr>
      <w:r>
        <w:rPr>
          <w:rFonts w:ascii="Arial" w:cs="Arial" w:eastAsia="Arial" w:hAnsi="Arial"/>
          <w:sz w:val="14"/>
          <w:szCs w:val="14"/>
          <w:u w:val="single" w:color="auto"/>
          <w:color w:val="0000FF"/>
        </w:rPr>
        <w:t>32.1</w:t>
      </w:r>
      <w:r>
        <w:rPr>
          <w:sz w:val="20"/>
          <w:szCs w:val="20"/>
          <w:color w:val="auto"/>
        </w:rPr>
        <w:tab/>
      </w:r>
      <w:r>
        <w:rPr>
          <w:rFonts w:ascii="Arial" w:cs="Arial" w:eastAsia="Arial" w:hAnsi="Arial"/>
          <w:sz w:val="14"/>
          <w:szCs w:val="14"/>
          <w:color w:val="auto"/>
        </w:rPr>
        <w:t>Certification of Chief Executive Officer pursuant to 18 U.S.C. Section 1350, as adopted pursuant to Section 906 of the Sarbanes-Oxley Act of 2002.</w:t>
      </w:r>
    </w:p>
    <w:p>
      <w:pPr>
        <w:spacing w:after="0" w:line="42" w:lineRule="exact"/>
        <w:rPr>
          <w:rFonts w:ascii="Arial" w:cs="Arial" w:eastAsia="Arial" w:hAnsi="Arial"/>
          <w:sz w:val="14"/>
          <w:szCs w:val="14"/>
          <w:i w:val="1"/>
          <w:iCs w:val="1"/>
          <w:color w:val="auto"/>
        </w:rPr>
      </w:pPr>
    </w:p>
    <w:p>
      <w:pPr>
        <w:ind w:left="1034"/>
        <w:spacing w:after="0"/>
        <w:tabs>
          <w:tab w:leader="none" w:pos="1474" w:val="left"/>
        </w:tabs>
        <w:rPr>
          <w:sz w:val="20"/>
          <w:szCs w:val="20"/>
          <w:color w:val="auto"/>
        </w:rPr>
      </w:pPr>
      <w:r>
        <w:rPr>
          <w:rFonts w:ascii="Arial" w:cs="Arial" w:eastAsia="Arial" w:hAnsi="Arial"/>
          <w:sz w:val="14"/>
          <w:szCs w:val="14"/>
          <w:u w:val="single" w:color="auto"/>
          <w:color w:val="0000FF"/>
        </w:rPr>
        <w:t>32.2</w:t>
      </w:r>
      <w:r>
        <w:rPr>
          <w:sz w:val="20"/>
          <w:szCs w:val="20"/>
          <w:color w:val="auto"/>
        </w:rPr>
        <w:tab/>
      </w:r>
      <w:r>
        <w:rPr>
          <w:rFonts w:ascii="Arial" w:cs="Arial" w:eastAsia="Arial" w:hAnsi="Arial"/>
          <w:sz w:val="14"/>
          <w:szCs w:val="14"/>
          <w:color w:val="auto"/>
        </w:rPr>
        <w:t>Certification of Chief Financial Officer pursuant to 18 U.S.C. Section 1350, as adopted pursuant to Section 906 of the Sarbanes-Oxley Act of 2002.</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7098030"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22" w:lineRule="exact"/>
        <w:rPr>
          <w:rFonts w:ascii="Arial" w:cs="Arial" w:eastAsia="Arial" w:hAnsi="Arial"/>
          <w:sz w:val="14"/>
          <w:szCs w:val="14"/>
          <w:i w:val="1"/>
          <w:iCs w:val="1"/>
          <w:color w:val="auto"/>
        </w:rPr>
      </w:pPr>
    </w:p>
    <w:p>
      <w:pPr>
        <w:ind w:left="1494" w:hanging="1494"/>
        <w:spacing w:after="0" w:line="264" w:lineRule="auto"/>
        <w:tabs>
          <w:tab w:leader="none" w:pos="1043" w:val="left"/>
        </w:tabs>
        <w:numPr>
          <w:ilvl w:val="0"/>
          <w:numId w:val="60"/>
        </w:numPr>
        <w:rPr>
          <w:rFonts w:ascii="Arial" w:cs="Arial" w:eastAsia="Arial" w:hAnsi="Arial"/>
          <w:sz w:val="14"/>
          <w:szCs w:val="14"/>
          <w:color w:val="0000FF"/>
        </w:rPr>
      </w:pPr>
      <w:hyperlink r:id="rId226">
        <w:r>
          <w:rPr>
            <w:rFonts w:ascii="Arial" w:cs="Arial" w:eastAsia="Arial" w:hAnsi="Arial"/>
            <w:sz w:val="14"/>
            <w:szCs w:val="14"/>
            <w:u w:val="single" w:color="auto"/>
            <w:color w:val="0000FF"/>
          </w:rPr>
          <w:t>97.1</w:t>
        </w:r>
        <w:r>
          <w:rPr>
            <w:rFonts w:ascii="Arial" w:cs="Arial" w:eastAsia="Arial" w:hAnsi="Arial"/>
            <w:sz w:val="14"/>
            <w:szCs w:val="14"/>
            <w:color w:val="0000FF"/>
          </w:rPr>
          <w:t xml:space="preserve"> </w:t>
        </w:r>
      </w:hyperlink>
      <w:r>
        <w:rPr>
          <w:rFonts w:ascii="Arial" w:cs="Arial" w:eastAsia="Arial" w:hAnsi="Arial"/>
          <w:sz w:val="14"/>
          <w:szCs w:val="14"/>
          <w:color w:val="000000"/>
        </w:rPr>
        <w:t>FTAI</w:t>
      </w:r>
      <w:r>
        <w:rPr>
          <w:rFonts w:ascii="Arial" w:cs="Arial" w:eastAsia="Arial" w:hAnsi="Arial"/>
          <w:sz w:val="14"/>
          <w:szCs w:val="14"/>
          <w:color w:val="0000FF"/>
        </w:rPr>
        <w:t xml:space="preserve"> </w:t>
      </w:r>
      <w:r>
        <w:rPr>
          <w:rFonts w:ascii="Arial" w:cs="Arial" w:eastAsia="Arial" w:hAnsi="Arial"/>
          <w:sz w:val="14"/>
          <w:szCs w:val="14"/>
          <w:color w:val="000000"/>
        </w:rPr>
        <w:t>Infrastructure Inc. Clawback Policy effective as of December 1, 2023 (incorporated by reference to Exhibit 97.1 of the Company’s Annual Report</w:t>
      </w:r>
      <w:r>
        <w:rPr>
          <w:rFonts w:ascii="Arial" w:cs="Arial" w:eastAsia="Arial" w:hAnsi="Arial"/>
          <w:sz w:val="14"/>
          <w:szCs w:val="14"/>
          <w:color w:val="0000FF"/>
        </w:rPr>
        <w:t xml:space="preserve"> </w:t>
      </w:r>
      <w:r>
        <w:rPr>
          <w:rFonts w:ascii="Arial" w:cs="Arial" w:eastAsia="Arial" w:hAnsi="Arial"/>
          <w:sz w:val="14"/>
          <w:szCs w:val="14"/>
          <w:color w:val="000000"/>
        </w:rPr>
        <w:t>on Form 10-K, filed March 27, 2024).</w:t>
      </w:r>
    </w:p>
    <w:p>
      <w:pPr>
        <w:spacing w:after="0" w:line="200" w:lineRule="exact"/>
        <w:rPr>
          <w:rFonts w:ascii="Arial" w:cs="Arial" w:eastAsia="Arial" w:hAnsi="Arial"/>
          <w:sz w:val="14"/>
          <w:szCs w:val="14"/>
          <w:i w:val="1"/>
          <w:iCs w:val="1"/>
          <w:color w:val="auto"/>
        </w:rPr>
      </w:pPr>
    </w:p>
    <w:p>
      <w:pPr>
        <w:spacing w:after="0" w:line="200" w:lineRule="exact"/>
        <w:rPr>
          <w:rFonts w:ascii="Arial" w:cs="Arial" w:eastAsia="Arial" w:hAnsi="Arial"/>
          <w:sz w:val="14"/>
          <w:szCs w:val="14"/>
          <w:i w:val="1"/>
          <w:iCs w:val="1"/>
          <w:color w:val="auto"/>
        </w:rPr>
      </w:pPr>
    </w:p>
    <w:p>
      <w:pPr>
        <w:spacing w:after="0" w:line="299" w:lineRule="exact"/>
        <w:rPr>
          <w:rFonts w:ascii="Arial" w:cs="Arial" w:eastAsia="Arial" w:hAnsi="Arial"/>
          <w:sz w:val="14"/>
          <w:szCs w:val="14"/>
          <w:i w:val="1"/>
          <w:iCs w:val="1"/>
          <w:color w:val="auto"/>
        </w:rPr>
      </w:pPr>
    </w:p>
    <w:p>
      <w:pPr>
        <w:jc w:val="center"/>
        <w:ind w:right="-53"/>
        <w:spacing w:after="0"/>
        <w:rPr>
          <w:sz w:val="20"/>
          <w:szCs w:val="20"/>
          <w:color w:val="auto"/>
        </w:rPr>
      </w:pPr>
      <w:r>
        <w:rPr>
          <w:rFonts w:ascii="Arial" w:cs="Arial" w:eastAsia="Arial" w:hAnsi="Arial"/>
          <w:sz w:val="14"/>
          <w:szCs w:val="14"/>
          <w:color w:val="auto"/>
        </w:rPr>
        <w:t>114</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-23495</wp:posOffset>
            </wp:positionH>
            <wp:positionV relativeFrom="paragraph">
              <wp:posOffset>71120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4"/>
          </w:cols>
          <w:pgMar w:left="346" w:top="1089" w:right="419" w:bottom="1440" w:gutter="0" w:footer="0" w:header="0"/>
        </w:sectPr>
      </w:pPr>
    </w:p>
    <w:bookmarkStart w:id="121" w:name="page122"/>
    <w:bookmarkEnd w:id="121"/>
    <w:p>
      <w:pPr>
        <w:ind w:left="580"/>
        <w:spacing w:after="0"/>
        <w:tabs>
          <w:tab w:leader="none" w:pos="59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69519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5" w:lineRule="exact"/>
        <w:rPr>
          <w:sz w:val="20"/>
          <w:szCs w:val="20"/>
          <w:color w:val="auto"/>
        </w:rPr>
      </w:pPr>
    </w:p>
    <w:p>
      <w:pPr>
        <w:jc w:val="both"/>
        <w:ind w:left="1520" w:hanging="469"/>
        <w:spacing w:after="0" w:line="231" w:lineRule="auto"/>
        <w:tabs>
          <w:tab w:leader="none" w:pos="1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Annual Report on Form 10-K for the year ended December 31, 2025, formatted in iXBRL (Inline Extensible Business Reporting Language): (i) Consolidated Balance Sheets; (ii) Consolidated Statements of Operations; (iii) Consolidated Statements of Comprehensive (Loss) Income; (iv) Consolidated Statements of Changes in Equity; (v) Consolidated Statements of Cash Flows;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98030"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ind w:left="1520" w:hanging="469"/>
        <w:spacing w:after="0"/>
        <w:tabs>
          <w:tab w:leader="none" w:pos="1520" w:val="left"/>
        </w:tabs>
        <w:numPr>
          <w:ilvl w:val="1"/>
          <w:numId w:val="62"/>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43" w:lineRule="exact"/>
        <w:rPr>
          <w:rFonts w:ascii="Arial" w:cs="Arial" w:eastAsia="Arial" w:hAnsi="Arial"/>
          <w:sz w:val="14"/>
          <w:szCs w:val="14"/>
          <w:color w:val="auto"/>
        </w:rPr>
      </w:pPr>
    </w:p>
    <w:p>
      <w:pPr>
        <w:ind w:left="260" w:hanging="234"/>
        <w:spacing w:after="0"/>
        <w:tabs>
          <w:tab w:leader="none" w:pos="260" w:val="left"/>
        </w:tabs>
        <w:numPr>
          <w:ilvl w:val="0"/>
          <w:numId w:val="62"/>
        </w:numPr>
        <w:rPr>
          <w:rFonts w:ascii="Arial" w:cs="Arial" w:eastAsia="Arial" w:hAnsi="Arial"/>
          <w:sz w:val="14"/>
          <w:szCs w:val="14"/>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9803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2" w:lineRule="exact"/>
        <w:rPr>
          <w:sz w:val="20"/>
          <w:szCs w:val="20"/>
          <w:color w:val="auto"/>
        </w:rPr>
      </w:pPr>
    </w:p>
    <w:p>
      <w:pPr>
        <w:ind w:left="260" w:hanging="234"/>
        <w:spacing w:after="0"/>
        <w:tabs>
          <w:tab w:leader="none" w:pos="260" w:val="left"/>
        </w:tabs>
        <w:numPr>
          <w:ilvl w:val="0"/>
          <w:numId w:val="63"/>
        </w:numPr>
        <w:rPr>
          <w:rFonts w:ascii="Arial" w:cs="Arial" w:eastAsia="Arial" w:hAnsi="Arial"/>
          <w:sz w:val="14"/>
          <w:szCs w:val="14"/>
          <w:color w:val="auto"/>
        </w:rPr>
      </w:pPr>
      <w:r>
        <w:rPr>
          <w:rFonts w:ascii="Arial" w:cs="Arial" w:eastAsia="Arial" w:hAnsi="Arial"/>
          <w:sz w:val="14"/>
          <w:szCs w:val="14"/>
          <w:i w:val="1"/>
          <w:iCs w:val="1"/>
          <w:color w:val="auto"/>
        </w:rPr>
        <w:t>Portions of this exhibit have been omitted.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16. Form 10-K Summary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FTAI INFRASTRUCTURE INC.</w:t>
      </w:r>
    </w:p>
    <w:p>
      <w:pPr>
        <w:spacing w:after="0" w:line="50" w:lineRule="exact"/>
        <w:rPr>
          <w:sz w:val="20"/>
          <w:szCs w:val="20"/>
          <w:color w:val="auto"/>
        </w:rPr>
      </w:pPr>
    </w:p>
    <w:p>
      <w:pPr>
        <w:ind w:left="20"/>
        <w:spacing w:after="0"/>
        <w:tabs>
          <w:tab w:leader="none" w:pos="540" w:val="left"/>
          <w:tab w:leader="none" w:pos="8100" w:val="left"/>
          <w:tab w:leader="none" w:pos="101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Kenneth J. Nicholson</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23495</wp:posOffset>
            </wp:positionV>
            <wp:extent cx="31800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Kenneth J. Nicholson</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Chief Executive Officer and President</w:t>
      </w:r>
    </w:p>
    <w:p>
      <w:pPr>
        <w:spacing w:after="0" w:line="34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tbl>
      <w:tblPr>
        <w:tblLayout w:type="fixed"/>
        <w:tblInd w:w="20" w:type="dxa"/>
        <w:tblCellMar>
          <w:top w:w="0" w:type="dxa"/>
          <w:left w:w="0" w:type="dxa"/>
          <w:bottom w:w="0" w:type="dxa"/>
          <w:right w:w="0" w:type="dxa"/>
        </w:tblCellMar>
      </w:tblPr>
      <w:tr>
        <w:trPr>
          <w:trHeight w:val="194"/>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Joseph P. Adams, Jr.</w:t>
            </w:r>
          </w:p>
        </w:tc>
        <w:tc>
          <w:tcPr>
            <w:tcW w:w="880" w:type="dxa"/>
            <w:vAlign w:val="bottom"/>
            <w:tcBorders>
              <w:bottom w:val="single" w:sz="8" w:color="auto"/>
            </w:tcBorders>
          </w:tcPr>
          <w:p>
            <w:pPr>
              <w:spacing w:after="0"/>
              <w:rPr>
                <w:sz w:val="16"/>
                <w:szCs w:val="16"/>
                <w:color w:val="auto"/>
              </w:rPr>
            </w:pPr>
          </w:p>
        </w:tc>
        <w:tc>
          <w:tcPr>
            <w:tcW w:w="3800" w:type="dxa"/>
            <w:vAlign w:val="bottom"/>
          </w:tcPr>
          <w:p>
            <w:pPr>
              <w:ind w:left="2600"/>
              <w:spacing w:after="0"/>
              <w:rPr>
                <w:sz w:val="20"/>
                <w:szCs w:val="20"/>
                <w:color w:val="auto"/>
              </w:rPr>
            </w:pPr>
            <w:r>
              <w:rPr>
                <w:rFonts w:ascii="Arial" w:cs="Arial" w:eastAsia="Arial" w:hAnsi="Arial"/>
                <w:sz w:val="14"/>
                <w:szCs w:val="14"/>
                <w:color w:val="auto"/>
              </w:rPr>
              <w:t>Date:</w:t>
            </w:r>
          </w:p>
        </w:tc>
        <w:tc>
          <w:tcPr>
            <w:tcW w:w="1860" w:type="dxa"/>
            <w:vAlign w:val="bottom"/>
          </w:tcPr>
          <w:p>
            <w:pPr>
              <w:ind w:left="860"/>
              <w:spacing w:after="0"/>
              <w:rPr>
                <w:sz w:val="20"/>
                <w:szCs w:val="20"/>
                <w:color w:val="auto"/>
              </w:rPr>
            </w:pPr>
            <w:r>
              <w:rPr>
                <w:rFonts w:ascii="Arial" w:cs="Arial" w:eastAsia="Arial" w:hAnsi="Arial"/>
                <w:sz w:val="14"/>
                <w:szCs w:val="14"/>
                <w:color w:val="auto"/>
              </w:rPr>
              <w:t>March 16, 2026</w:t>
            </w:r>
          </w:p>
        </w:tc>
      </w:tr>
      <w:tr>
        <w:trPr>
          <w:trHeight w:val="192"/>
        </w:trPr>
        <w:tc>
          <w:tcPr>
            <w:tcW w:w="5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Joseph P. Adams, Jr.</w:t>
            </w:r>
          </w:p>
        </w:tc>
        <w:tc>
          <w:tcPr>
            <w:tcW w:w="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Chairman of the Board</w:t>
            </w:r>
          </w:p>
        </w:tc>
        <w:tc>
          <w:tcPr>
            <w:tcW w:w="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Kenneth J. Nicholson</w:t>
            </w:r>
          </w:p>
        </w:tc>
        <w:tc>
          <w:tcPr>
            <w:tcW w:w="880" w:type="dxa"/>
            <w:vAlign w:val="bottom"/>
            <w:tcBorders>
              <w:bottom w:val="single" w:sz="8" w:color="auto"/>
            </w:tcBorders>
          </w:tcPr>
          <w:p>
            <w:pPr>
              <w:spacing w:after="0"/>
              <w:rPr>
                <w:sz w:val="24"/>
                <w:szCs w:val="24"/>
                <w:color w:val="auto"/>
              </w:rPr>
            </w:pPr>
          </w:p>
        </w:tc>
        <w:tc>
          <w:tcPr>
            <w:tcW w:w="3800" w:type="dxa"/>
            <w:vAlign w:val="bottom"/>
          </w:tcPr>
          <w:p>
            <w:pPr>
              <w:ind w:left="2600"/>
              <w:spacing w:after="0"/>
              <w:rPr>
                <w:sz w:val="20"/>
                <w:szCs w:val="20"/>
                <w:color w:val="auto"/>
              </w:rPr>
            </w:pPr>
            <w:r>
              <w:rPr>
                <w:rFonts w:ascii="Arial" w:cs="Arial" w:eastAsia="Arial" w:hAnsi="Arial"/>
                <w:sz w:val="14"/>
                <w:szCs w:val="14"/>
                <w:color w:val="auto"/>
              </w:rPr>
              <w:t>Date:</w:t>
            </w:r>
          </w:p>
        </w:tc>
        <w:tc>
          <w:tcPr>
            <w:tcW w:w="1860" w:type="dxa"/>
            <w:vAlign w:val="bottom"/>
          </w:tcPr>
          <w:p>
            <w:pPr>
              <w:ind w:left="860"/>
              <w:spacing w:after="0"/>
              <w:rPr>
                <w:sz w:val="20"/>
                <w:szCs w:val="20"/>
                <w:color w:val="auto"/>
              </w:rPr>
            </w:pPr>
            <w:r>
              <w:rPr>
                <w:rFonts w:ascii="Arial" w:cs="Arial" w:eastAsia="Arial" w:hAnsi="Arial"/>
                <w:sz w:val="14"/>
                <w:szCs w:val="14"/>
                <w:color w:val="auto"/>
              </w:rPr>
              <w:t>March 16, 2026</w:t>
            </w:r>
          </w:p>
        </w:tc>
      </w:tr>
      <w:tr>
        <w:trPr>
          <w:trHeight w:val="192"/>
        </w:trPr>
        <w:tc>
          <w:tcPr>
            <w:tcW w:w="5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Kenneth J. Nicholson</w:t>
            </w:r>
          </w:p>
        </w:tc>
        <w:tc>
          <w:tcPr>
            <w:tcW w:w="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Chief Executive Officer and President</w:t>
            </w:r>
          </w:p>
        </w:tc>
        <w:tc>
          <w:tcPr>
            <w:tcW w:w="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Carl R. Fletcher IV</w:t>
            </w:r>
          </w:p>
        </w:tc>
        <w:tc>
          <w:tcPr>
            <w:tcW w:w="880" w:type="dxa"/>
            <w:vAlign w:val="bottom"/>
            <w:tcBorders>
              <w:bottom w:val="single" w:sz="8" w:color="auto"/>
            </w:tcBorders>
          </w:tcPr>
          <w:p>
            <w:pPr>
              <w:spacing w:after="0"/>
              <w:rPr>
                <w:sz w:val="24"/>
                <w:szCs w:val="24"/>
                <w:color w:val="auto"/>
              </w:rPr>
            </w:pPr>
          </w:p>
        </w:tc>
        <w:tc>
          <w:tcPr>
            <w:tcW w:w="3800" w:type="dxa"/>
            <w:vAlign w:val="bottom"/>
          </w:tcPr>
          <w:p>
            <w:pPr>
              <w:ind w:left="2600"/>
              <w:spacing w:after="0"/>
              <w:rPr>
                <w:sz w:val="20"/>
                <w:szCs w:val="20"/>
                <w:color w:val="auto"/>
              </w:rPr>
            </w:pPr>
            <w:r>
              <w:rPr>
                <w:rFonts w:ascii="Arial" w:cs="Arial" w:eastAsia="Arial" w:hAnsi="Arial"/>
                <w:sz w:val="14"/>
                <w:szCs w:val="14"/>
                <w:color w:val="auto"/>
              </w:rPr>
              <w:t>Date:</w:t>
            </w:r>
          </w:p>
        </w:tc>
        <w:tc>
          <w:tcPr>
            <w:tcW w:w="1860" w:type="dxa"/>
            <w:vAlign w:val="bottom"/>
          </w:tcPr>
          <w:p>
            <w:pPr>
              <w:ind w:left="860"/>
              <w:spacing w:after="0"/>
              <w:rPr>
                <w:sz w:val="20"/>
                <w:szCs w:val="20"/>
                <w:color w:val="auto"/>
              </w:rPr>
            </w:pPr>
            <w:r>
              <w:rPr>
                <w:rFonts w:ascii="Arial" w:cs="Arial" w:eastAsia="Arial" w:hAnsi="Arial"/>
                <w:sz w:val="14"/>
                <w:szCs w:val="14"/>
                <w:color w:val="auto"/>
              </w:rPr>
              <w:t>March 16, 2026</w:t>
            </w:r>
          </w:p>
        </w:tc>
      </w:tr>
      <w:tr>
        <w:trPr>
          <w:trHeight w:val="192"/>
        </w:trPr>
        <w:tc>
          <w:tcPr>
            <w:tcW w:w="5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Carl R. Fletcher IV</w:t>
            </w:r>
          </w:p>
        </w:tc>
        <w:tc>
          <w:tcPr>
            <w:tcW w:w="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Chief Financial Officer and Chief Accounting Officer</w:t>
            </w:r>
          </w:p>
        </w:tc>
        <w:tc>
          <w:tcPr>
            <w:tcW w:w="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James L. Hamilton</w:t>
            </w:r>
          </w:p>
        </w:tc>
        <w:tc>
          <w:tcPr>
            <w:tcW w:w="880" w:type="dxa"/>
            <w:vAlign w:val="bottom"/>
            <w:tcBorders>
              <w:bottom w:val="single" w:sz="8" w:color="auto"/>
            </w:tcBorders>
          </w:tcPr>
          <w:p>
            <w:pPr>
              <w:spacing w:after="0"/>
              <w:rPr>
                <w:sz w:val="24"/>
                <w:szCs w:val="24"/>
                <w:color w:val="auto"/>
              </w:rPr>
            </w:pPr>
          </w:p>
        </w:tc>
        <w:tc>
          <w:tcPr>
            <w:tcW w:w="3800" w:type="dxa"/>
            <w:vAlign w:val="bottom"/>
          </w:tcPr>
          <w:p>
            <w:pPr>
              <w:ind w:left="2600"/>
              <w:spacing w:after="0"/>
              <w:rPr>
                <w:sz w:val="20"/>
                <w:szCs w:val="20"/>
                <w:color w:val="auto"/>
              </w:rPr>
            </w:pPr>
            <w:r>
              <w:rPr>
                <w:rFonts w:ascii="Arial" w:cs="Arial" w:eastAsia="Arial" w:hAnsi="Arial"/>
                <w:sz w:val="14"/>
                <w:szCs w:val="14"/>
                <w:color w:val="auto"/>
              </w:rPr>
              <w:t>Date:</w:t>
            </w:r>
          </w:p>
        </w:tc>
        <w:tc>
          <w:tcPr>
            <w:tcW w:w="1860" w:type="dxa"/>
            <w:vAlign w:val="bottom"/>
          </w:tcPr>
          <w:p>
            <w:pPr>
              <w:ind w:left="860"/>
              <w:spacing w:after="0"/>
              <w:rPr>
                <w:sz w:val="20"/>
                <w:szCs w:val="20"/>
                <w:color w:val="auto"/>
              </w:rPr>
            </w:pPr>
            <w:r>
              <w:rPr>
                <w:rFonts w:ascii="Arial" w:cs="Arial" w:eastAsia="Arial" w:hAnsi="Arial"/>
                <w:sz w:val="14"/>
                <w:szCs w:val="14"/>
                <w:color w:val="auto"/>
              </w:rPr>
              <w:t>March 16, 2026</w:t>
            </w:r>
          </w:p>
        </w:tc>
      </w:tr>
      <w:tr>
        <w:trPr>
          <w:trHeight w:val="192"/>
        </w:trPr>
        <w:tc>
          <w:tcPr>
            <w:tcW w:w="5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James L. Hamilton</w:t>
            </w:r>
          </w:p>
        </w:tc>
        <w:tc>
          <w:tcPr>
            <w:tcW w:w="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Director</w:t>
            </w:r>
          </w:p>
        </w:tc>
        <w:tc>
          <w:tcPr>
            <w:tcW w:w="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Judith A. Hannaway</w:t>
            </w:r>
          </w:p>
        </w:tc>
        <w:tc>
          <w:tcPr>
            <w:tcW w:w="880" w:type="dxa"/>
            <w:vAlign w:val="bottom"/>
            <w:tcBorders>
              <w:bottom w:val="single" w:sz="8" w:color="auto"/>
            </w:tcBorders>
          </w:tcPr>
          <w:p>
            <w:pPr>
              <w:spacing w:after="0"/>
              <w:rPr>
                <w:sz w:val="24"/>
                <w:szCs w:val="24"/>
                <w:color w:val="auto"/>
              </w:rPr>
            </w:pPr>
          </w:p>
        </w:tc>
        <w:tc>
          <w:tcPr>
            <w:tcW w:w="3800" w:type="dxa"/>
            <w:vAlign w:val="bottom"/>
          </w:tcPr>
          <w:p>
            <w:pPr>
              <w:ind w:left="2600"/>
              <w:spacing w:after="0"/>
              <w:rPr>
                <w:sz w:val="20"/>
                <w:szCs w:val="20"/>
                <w:color w:val="auto"/>
              </w:rPr>
            </w:pPr>
            <w:r>
              <w:rPr>
                <w:rFonts w:ascii="Arial" w:cs="Arial" w:eastAsia="Arial" w:hAnsi="Arial"/>
                <w:sz w:val="14"/>
                <w:szCs w:val="14"/>
                <w:color w:val="auto"/>
              </w:rPr>
              <w:t>Date:</w:t>
            </w:r>
          </w:p>
        </w:tc>
        <w:tc>
          <w:tcPr>
            <w:tcW w:w="1860" w:type="dxa"/>
            <w:vAlign w:val="bottom"/>
          </w:tcPr>
          <w:p>
            <w:pPr>
              <w:ind w:left="860"/>
              <w:spacing w:after="0"/>
              <w:rPr>
                <w:sz w:val="20"/>
                <w:szCs w:val="20"/>
                <w:color w:val="auto"/>
              </w:rPr>
            </w:pPr>
            <w:r>
              <w:rPr>
                <w:rFonts w:ascii="Arial" w:cs="Arial" w:eastAsia="Arial" w:hAnsi="Arial"/>
                <w:sz w:val="14"/>
                <w:szCs w:val="14"/>
                <w:color w:val="auto"/>
              </w:rPr>
              <w:t>March 16, 2026</w:t>
            </w:r>
          </w:p>
        </w:tc>
      </w:tr>
      <w:tr>
        <w:trPr>
          <w:trHeight w:val="192"/>
        </w:trPr>
        <w:tc>
          <w:tcPr>
            <w:tcW w:w="5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Judith A. Hannaway</w:t>
            </w:r>
          </w:p>
        </w:tc>
        <w:tc>
          <w:tcPr>
            <w:tcW w:w="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Director</w:t>
            </w:r>
          </w:p>
        </w:tc>
        <w:tc>
          <w:tcPr>
            <w:tcW w:w="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Ray M. Robinson</w:t>
            </w:r>
          </w:p>
        </w:tc>
        <w:tc>
          <w:tcPr>
            <w:tcW w:w="880" w:type="dxa"/>
            <w:vAlign w:val="bottom"/>
            <w:tcBorders>
              <w:bottom w:val="single" w:sz="8" w:color="auto"/>
            </w:tcBorders>
          </w:tcPr>
          <w:p>
            <w:pPr>
              <w:spacing w:after="0"/>
              <w:rPr>
                <w:sz w:val="24"/>
                <w:szCs w:val="24"/>
                <w:color w:val="auto"/>
              </w:rPr>
            </w:pPr>
          </w:p>
        </w:tc>
        <w:tc>
          <w:tcPr>
            <w:tcW w:w="3800" w:type="dxa"/>
            <w:vAlign w:val="bottom"/>
          </w:tcPr>
          <w:p>
            <w:pPr>
              <w:ind w:left="2600"/>
              <w:spacing w:after="0"/>
              <w:rPr>
                <w:sz w:val="20"/>
                <w:szCs w:val="20"/>
                <w:color w:val="auto"/>
              </w:rPr>
            </w:pPr>
            <w:r>
              <w:rPr>
                <w:rFonts w:ascii="Arial" w:cs="Arial" w:eastAsia="Arial" w:hAnsi="Arial"/>
                <w:sz w:val="14"/>
                <w:szCs w:val="14"/>
                <w:color w:val="auto"/>
              </w:rPr>
              <w:t>Date:</w:t>
            </w:r>
          </w:p>
        </w:tc>
        <w:tc>
          <w:tcPr>
            <w:tcW w:w="1860" w:type="dxa"/>
            <w:vAlign w:val="bottom"/>
          </w:tcPr>
          <w:p>
            <w:pPr>
              <w:ind w:left="860"/>
              <w:spacing w:after="0"/>
              <w:rPr>
                <w:sz w:val="20"/>
                <w:szCs w:val="20"/>
                <w:color w:val="auto"/>
              </w:rPr>
            </w:pPr>
            <w:r>
              <w:rPr>
                <w:rFonts w:ascii="Arial" w:cs="Arial" w:eastAsia="Arial" w:hAnsi="Arial"/>
                <w:sz w:val="14"/>
                <w:szCs w:val="14"/>
                <w:color w:val="auto"/>
              </w:rPr>
              <w:t>March 16, 2026</w:t>
            </w:r>
          </w:p>
        </w:tc>
      </w:tr>
      <w:tr>
        <w:trPr>
          <w:trHeight w:val="192"/>
        </w:trPr>
        <w:tc>
          <w:tcPr>
            <w:tcW w:w="5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Ray M. Robinson</w:t>
            </w:r>
          </w:p>
        </w:tc>
        <w:tc>
          <w:tcPr>
            <w:tcW w:w="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Director</w:t>
            </w:r>
          </w:p>
        </w:tc>
        <w:tc>
          <w:tcPr>
            <w:tcW w:w="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Matthew Rinklin</w:t>
            </w:r>
          </w:p>
        </w:tc>
        <w:tc>
          <w:tcPr>
            <w:tcW w:w="880" w:type="dxa"/>
            <w:vAlign w:val="bottom"/>
            <w:tcBorders>
              <w:bottom w:val="single" w:sz="8" w:color="auto"/>
            </w:tcBorders>
          </w:tcPr>
          <w:p>
            <w:pPr>
              <w:spacing w:after="0"/>
              <w:rPr>
                <w:sz w:val="24"/>
                <w:szCs w:val="24"/>
                <w:color w:val="auto"/>
              </w:rPr>
            </w:pPr>
          </w:p>
        </w:tc>
        <w:tc>
          <w:tcPr>
            <w:tcW w:w="3800" w:type="dxa"/>
            <w:vAlign w:val="bottom"/>
          </w:tcPr>
          <w:p>
            <w:pPr>
              <w:ind w:left="2600"/>
              <w:spacing w:after="0"/>
              <w:rPr>
                <w:sz w:val="20"/>
                <w:szCs w:val="20"/>
                <w:color w:val="auto"/>
              </w:rPr>
            </w:pPr>
            <w:r>
              <w:rPr>
                <w:rFonts w:ascii="Arial" w:cs="Arial" w:eastAsia="Arial" w:hAnsi="Arial"/>
                <w:sz w:val="14"/>
                <w:szCs w:val="14"/>
                <w:color w:val="auto"/>
              </w:rPr>
              <w:t>Date:</w:t>
            </w:r>
          </w:p>
        </w:tc>
        <w:tc>
          <w:tcPr>
            <w:tcW w:w="1860" w:type="dxa"/>
            <w:vAlign w:val="bottom"/>
          </w:tcPr>
          <w:p>
            <w:pPr>
              <w:ind w:left="860"/>
              <w:spacing w:after="0"/>
              <w:rPr>
                <w:sz w:val="20"/>
                <w:szCs w:val="20"/>
                <w:color w:val="auto"/>
              </w:rPr>
            </w:pPr>
            <w:r>
              <w:rPr>
                <w:rFonts w:ascii="Arial" w:cs="Arial" w:eastAsia="Arial" w:hAnsi="Arial"/>
                <w:sz w:val="14"/>
                <w:szCs w:val="14"/>
                <w:color w:val="auto"/>
              </w:rPr>
              <w:t>March 16, 2026</w:t>
            </w:r>
          </w:p>
        </w:tc>
      </w:tr>
      <w:tr>
        <w:trPr>
          <w:trHeight w:val="192"/>
        </w:trPr>
        <w:tc>
          <w:tcPr>
            <w:tcW w:w="5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Matthew Rinklin</w:t>
            </w:r>
          </w:p>
        </w:tc>
        <w:tc>
          <w:tcPr>
            <w:tcW w:w="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Director</w:t>
            </w:r>
          </w:p>
        </w:tc>
        <w:tc>
          <w:tcPr>
            <w:tcW w:w="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918"/>
        </w:trPr>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680" w:type="dxa"/>
            <w:vAlign w:val="bottom"/>
            <w:gridSpan w:val="2"/>
          </w:tcPr>
          <w:p>
            <w:pPr>
              <w:jc w:val="right"/>
              <w:ind w:right="3548"/>
              <w:spacing w:after="0"/>
              <w:rPr>
                <w:sz w:val="20"/>
                <w:szCs w:val="20"/>
                <w:color w:val="auto"/>
              </w:rPr>
            </w:pPr>
            <w:r>
              <w:rPr>
                <w:rFonts w:ascii="Arial" w:cs="Arial" w:eastAsia="Arial" w:hAnsi="Arial"/>
                <w:sz w:val="14"/>
                <w:szCs w:val="14"/>
                <w:color w:val="auto"/>
              </w:rPr>
              <w:t>116</w:t>
            </w:r>
          </w:p>
        </w:tc>
        <w:tc>
          <w:tcPr>
            <w:tcW w:w="1860" w:type="dxa"/>
            <w:vAlign w:val="bottom"/>
          </w:tcPr>
          <w:p>
            <w:pPr>
              <w:spacing w:after="0"/>
              <w:rPr>
                <w:sz w:val="24"/>
                <w:szCs w:val="24"/>
                <w:color w:val="auto"/>
              </w:rPr>
            </w:pPr>
          </w:p>
        </w:tc>
      </w:tr>
    </w:tbl>
    <w:p>
      <w:pPr>
        <w:sectPr>
          <w:pgSz w:w="11900" w:h="16838" w:orient="portrait"/>
          <w:cols w:equalWidth="0" w:num="1">
            <w:col w:w="11240"/>
          </w:cols>
          <w:pgMar w:left="320" w:top="1286"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333333"/>
        </w:rPr>
        <w:t>EXHIBIT 4.1</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UNDER SECTION 12 OF THE EXCHANGE ACT</w:t>
      </w:r>
    </w:p>
    <w:p>
      <w:pPr>
        <w:spacing w:after="0" w:line="119"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common stock and certain provisions of Delaware law and our certificate of incorporation and bylaws (as amended, restated, amended and restated, supplemented or otherwise modified from time to time) does not purport to be complete and is in all respects subject to, and are qualified in their entirety by reference to, all of the provisions of our certificate of incorporation and bylaws and Delaware law.</w:t>
      </w:r>
    </w:p>
    <w:p>
      <w:pPr>
        <w:spacing w:after="0" w:line="65" w:lineRule="exact"/>
        <w:rPr>
          <w:sz w:val="20"/>
          <w:szCs w:val="20"/>
          <w:color w:val="auto"/>
        </w:rPr>
      </w:pPr>
    </w:p>
    <w:p>
      <w:pPr>
        <w:jc w:val="both"/>
        <w:ind w:right="20"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For purposes of this summary, (i) the term “Company” refers only to FTAI Infrastructure Inc., a Delaware corporation, and not to any of its subsidiaries and (ii) the terms “our”, “us”, and “we” refer to the Company and its consolidated subsidiaries, unless the context requires otherwise.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139"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22"/>
          <w:szCs w:val="22"/>
          <w:color w:val="auto"/>
        </w:rPr>
      </w:pPr>
      <w:r>
        <w:rPr>
          <w:rFonts w:ascii="Times New Roman" w:cs="Times New Roman" w:eastAsia="Times New Roman" w:hAnsi="Times New Roman"/>
          <w:sz w:val="18"/>
          <w:szCs w:val="18"/>
          <w:color w:val="auto"/>
        </w:rPr>
        <w:t>2,000,000,000 shares of common stock, par value $0.01 per share (the “common stock”); and</w:t>
      </w:r>
    </w:p>
    <w:p>
      <w:pPr>
        <w:spacing w:after="0" w:line="111" w:lineRule="exact"/>
        <w:rPr>
          <w:rFonts w:ascii="Arial" w:cs="Arial" w:eastAsia="Arial" w:hAnsi="Arial"/>
          <w:sz w:val="22"/>
          <w:szCs w:val="22"/>
          <w:color w:val="auto"/>
        </w:rPr>
      </w:pPr>
    </w:p>
    <w:p>
      <w:pPr>
        <w:ind w:left="620" w:hanging="288"/>
        <w:spacing w:after="0"/>
        <w:tabs>
          <w:tab w:leader="none" w:pos="620" w:val="left"/>
        </w:tabs>
        <w:numPr>
          <w:ilvl w:val="0"/>
          <w:numId w:val="64"/>
        </w:numPr>
        <w:rPr>
          <w:rFonts w:ascii="Arial" w:cs="Arial" w:eastAsia="Arial" w:hAnsi="Arial"/>
          <w:sz w:val="22"/>
          <w:szCs w:val="22"/>
          <w:color w:val="auto"/>
        </w:rPr>
      </w:pPr>
      <w:r>
        <w:rPr>
          <w:rFonts w:ascii="Times New Roman" w:cs="Times New Roman" w:eastAsia="Times New Roman" w:hAnsi="Times New Roman"/>
          <w:sz w:val="18"/>
          <w:szCs w:val="18"/>
          <w:color w:val="auto"/>
        </w:rPr>
        <w:t>200,000,000 shares of preferred stock, par value $0.01 per share.</w:t>
      </w:r>
    </w:p>
    <w:p>
      <w:pPr>
        <w:spacing w:after="0" w:line="9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As of March 13, 2026, 118,163,555 outstanding shares of common stock and 160,000 shares of the Company’s Series B Convertible Junior Preferred Stock (the “Series B Convertible Junior Preferred Stock”) were issued and outstanding. All the outstanding common stock and Series B Convertible Junior Preferred Stock are fully paid and non-assessable.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No holder of common stock is entitled to preemptive, preferential or similar rights or redemption or conversion rights. Holders of common stock are entitled to one vote per share on all matters submitted to a vote of holders of common stock. Unless a different majority is required by law or by our certificate of incorporation and bylaws, resolutions to be approved by holders of common stock require approval by a simple majority of votes cast at a meeting at which a quorum is present.</w:t>
      </w:r>
    </w:p>
    <w:p>
      <w:pPr>
        <w:spacing w:after="0" w:line="7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on all matters submitted to a vote of stockholders. Except as provided with respect to any other class or series of shares, the holders of our common stock will possess the exclusive right to vote for the election of directors and for all other purposes. Our certificate of incorporation and bylaws does not provide for cumulative voting in the election of directors, which means that the holders of a majority of the outstanding common stock can elect all of the directors standing for election, and the holders of the remaining shares are not able to elect any directors.</w:t>
      </w:r>
    </w:p>
    <w:p>
      <w:pPr>
        <w:spacing w:after="0" w:line="7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Subject to any preference rights of holders of any preferred stock that we may issue in the future, holders of our common stock are entitled to receive dividends, if any, declared from time to time by our board of directors out of legally available funds. In the event of our liquidation, dissolution or winding up, the holders of our common stock are entitled to share ratably in all assets remaining after the payment of liabilities, subject to any rights of holders of our Series B Convertible Junior Preferred Stock prior to distribution.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without action by our stockholders, to issue preferred stock and to fix voting powers for each class or series of preferred stock, and to provide that any class or series may be subject to redemption, entitled to receive dividends, entitled to rights upon dissolution, or convertible or exchangeable for shares of any other class or classes of capital stock. The rights with respect to a series or class of preferred stock may be greater than the rights attached to our common stock. It is not possible to state the actual effect of the issuance of any shares of our preferred stock on the rights of holders of our common stock until our board of directors determines the specific rights attached to that preferred stock. The effect of issuing preferred stock could include, among other things, one or more of the following:</w:t>
      </w:r>
    </w:p>
    <w:p>
      <w:pPr>
        <w:spacing w:after="0" w:line="101" w:lineRule="exact"/>
        <w:rPr>
          <w:sz w:val="20"/>
          <w:szCs w:val="20"/>
          <w:color w:val="auto"/>
        </w:rPr>
      </w:pPr>
    </w:p>
    <w:p>
      <w:pPr>
        <w:ind w:left="620" w:hanging="288"/>
        <w:spacing w:after="0"/>
        <w:tabs>
          <w:tab w:leader="none" w:pos="620" w:val="left"/>
        </w:tabs>
        <w:numPr>
          <w:ilvl w:val="0"/>
          <w:numId w:val="65"/>
        </w:numPr>
        <w:rPr>
          <w:rFonts w:ascii="Arial" w:cs="Arial" w:eastAsia="Arial" w:hAnsi="Arial"/>
          <w:sz w:val="22"/>
          <w:szCs w:val="22"/>
          <w:color w:val="auto"/>
        </w:rPr>
      </w:pPr>
      <w:r>
        <w:rPr>
          <w:rFonts w:ascii="Times New Roman" w:cs="Times New Roman" w:eastAsia="Times New Roman" w:hAnsi="Times New Roman"/>
          <w:sz w:val="18"/>
          <w:szCs w:val="18"/>
          <w:color w:val="auto"/>
        </w:rPr>
        <w:t>restricting dividends in respect of our common stock;</w:t>
      </w:r>
    </w:p>
    <w:p>
      <w:pPr>
        <w:spacing w:after="0" w:line="111" w:lineRule="exact"/>
        <w:rPr>
          <w:rFonts w:ascii="Arial" w:cs="Arial" w:eastAsia="Arial" w:hAnsi="Arial"/>
          <w:sz w:val="22"/>
          <w:szCs w:val="22"/>
          <w:color w:val="auto"/>
        </w:rPr>
      </w:pPr>
    </w:p>
    <w:p>
      <w:pPr>
        <w:ind w:left="620" w:hanging="288"/>
        <w:spacing w:after="0"/>
        <w:tabs>
          <w:tab w:leader="none" w:pos="620" w:val="left"/>
        </w:tabs>
        <w:numPr>
          <w:ilvl w:val="0"/>
          <w:numId w:val="65"/>
        </w:numPr>
        <w:rPr>
          <w:rFonts w:ascii="Arial" w:cs="Arial" w:eastAsia="Arial" w:hAnsi="Arial"/>
          <w:sz w:val="22"/>
          <w:szCs w:val="22"/>
          <w:color w:val="auto"/>
        </w:rPr>
      </w:pPr>
      <w:r>
        <w:rPr>
          <w:rFonts w:ascii="Times New Roman" w:cs="Times New Roman" w:eastAsia="Times New Roman" w:hAnsi="Times New Roman"/>
          <w:sz w:val="18"/>
          <w:szCs w:val="18"/>
          <w:color w:val="auto"/>
        </w:rPr>
        <w:t>diluting the voting power of our common stock or providing that holders of shares of preferred stock have the right to vote on matters as a class;</w:t>
      </w:r>
    </w:p>
    <w:p>
      <w:pPr>
        <w:spacing w:after="0" w:line="111" w:lineRule="exact"/>
        <w:rPr>
          <w:rFonts w:ascii="Arial" w:cs="Arial" w:eastAsia="Arial" w:hAnsi="Arial"/>
          <w:sz w:val="22"/>
          <w:szCs w:val="22"/>
          <w:color w:val="auto"/>
        </w:rPr>
      </w:pPr>
    </w:p>
    <w:p>
      <w:pPr>
        <w:ind w:left="620" w:hanging="288"/>
        <w:spacing w:after="0"/>
        <w:tabs>
          <w:tab w:leader="none" w:pos="620" w:val="left"/>
        </w:tabs>
        <w:numPr>
          <w:ilvl w:val="0"/>
          <w:numId w:val="65"/>
        </w:numPr>
        <w:rPr>
          <w:rFonts w:ascii="Arial" w:cs="Arial" w:eastAsia="Arial" w:hAnsi="Arial"/>
          <w:sz w:val="22"/>
          <w:szCs w:val="22"/>
          <w:color w:val="auto"/>
        </w:rPr>
      </w:pPr>
      <w:r>
        <w:rPr>
          <w:rFonts w:ascii="Times New Roman" w:cs="Times New Roman" w:eastAsia="Times New Roman" w:hAnsi="Times New Roman"/>
          <w:sz w:val="18"/>
          <w:szCs w:val="18"/>
          <w:color w:val="auto"/>
        </w:rPr>
        <w:t>impairing the liquidation rights of our common stock; or</w:t>
      </w:r>
    </w:p>
    <w:p>
      <w:pPr>
        <w:spacing w:after="0" w:line="125" w:lineRule="exact"/>
        <w:rPr>
          <w:rFonts w:ascii="Arial" w:cs="Arial" w:eastAsia="Arial" w:hAnsi="Arial"/>
          <w:sz w:val="22"/>
          <w:szCs w:val="22"/>
          <w:color w:val="auto"/>
        </w:rPr>
      </w:pPr>
    </w:p>
    <w:p>
      <w:pPr>
        <w:ind w:left="620" w:hanging="288"/>
        <w:spacing w:after="0"/>
        <w:tabs>
          <w:tab w:leader="none" w:pos="620" w:val="left"/>
        </w:tabs>
        <w:numPr>
          <w:ilvl w:val="0"/>
          <w:numId w:val="65"/>
        </w:numPr>
        <w:rPr>
          <w:rFonts w:ascii="Arial" w:cs="Arial" w:eastAsia="Arial" w:hAnsi="Arial"/>
          <w:sz w:val="22"/>
          <w:szCs w:val="22"/>
          <w:color w:val="auto"/>
        </w:rPr>
      </w:pPr>
      <w:r>
        <w:rPr>
          <w:rFonts w:ascii="Times New Roman" w:cs="Times New Roman" w:eastAsia="Times New Roman" w:hAnsi="Times New Roman"/>
          <w:sz w:val="18"/>
          <w:szCs w:val="18"/>
          <w:color w:val="auto"/>
        </w:rPr>
        <w:t>delaying or preventing a change of control of us.</w:t>
      </w:r>
    </w:p>
    <w:p>
      <w:pPr>
        <w:sectPr>
          <w:pgSz w:w="11900" w:h="16838" w:orient="portrait"/>
          <w:cols w:equalWidth="0" w:num="1">
            <w:col w:w="11240"/>
          </w:cols>
          <w:pgMar w:left="320" w:top="89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Series B Convertible Junior Preferred Stock</w:t>
      </w:r>
    </w:p>
    <w:p>
      <w:pPr>
        <w:spacing w:after="0" w:line="121"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As of March 13, 2026, there were 160,000 issued and outstanding shares of Series B Convertible Junior Preferred Stock. The Series B Convertible Junior Preferred Stock is not registered under Section 12 of the Exchange Act.</w:t>
      </w:r>
    </w:p>
    <w:p>
      <w:pPr>
        <w:spacing w:after="0" w:line="5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Series B Convertible Junior Preferred Stock ranks senior to the Company’s common stock and all other junior equity securities of the Company, and junior to the Company’s existing or future indebtedness and other liabilities (including trade payables) of the Company with respect to payment of dividends, distribution of assets and all other liquidation, winding up, dissolution, dividend and redemption rights.</w:t>
      </w:r>
    </w:p>
    <w:p>
      <w:pPr>
        <w:spacing w:after="0" w:line="68"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expect to pay quarterly compounding, regular dividends on the Series B Convertible Junior Preferred Stock equal to 10.0% per annum if paid-in-kind and 9.0% per annum if paid in cash, subject to increase in accordance with the terms of the Series B Convertible Junior Preferred Stock.</w:t>
      </w:r>
    </w:p>
    <w:p>
      <w:pPr>
        <w:spacing w:after="0" w:line="5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Series B Convertible Junior Preferred Stock is not mandatorily redeemable at the option of the holders of the Series B Convertible Junior Preferred Stock except upon the occurrence of a change of control. Additionally, the Company has the right to redeem the Series B Convertible Junior Preferred Stock, at any time and from time to time, at a price per share equal to (i) if within the first two years of issuance, (a) an amount in cash that, taken together with any cash dividends paid to the redemption date, would equal 120% of the initial liquidation preference plus (b) 43.75 warrants and (ii) thereafter, 102% of the then-applicable liquidation value. Each warrant would be exercisable for one share of common stock at an exercise price of $8.18.</w:t>
      </w:r>
    </w:p>
    <w:p>
      <w:pPr>
        <w:spacing w:after="0" w:line="7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Each share of Series B Convertible Junior Preferred Stock is convertible by the holder thereof at any time, subject to certain limitations described below, into a number of shares of common stock equal to (i) the then-applicable liquidation value divided by (ii) the conversion price, initially set at $8.18 per share of common stock and subject to certain customary anti-dilution adjustments. Should the cumulative number of shares of common stock delivered upon conversion of the Series B Convertible Junior Preferred Stock (or exercise of any warrants issued as part of an optional redemption of Series B Convertible Junior Preferred Stock) exceed 22,237,370 shares, all further conversion and exercise consideration will be payable in cash in lieu of shares, calculated based on the volume-weighted average price per share of common stock on the trading day immediately preceding the conversion date, unless the Company obtains shareholder approval to issue such consideration in shares of common stock. Furthermore, no holder of Series B Convertible Junior Preferred Stock (or any warrants issued as part of an optional redemption of Series B Convertible Junior Preferred Stock) may convert any share of Series B Convertible Junior Preferred Stock (or exercise any warrant) into shares of common stock if and to the extent that such conversion or exercise would result in such holder beneficially owning in excess of 19.99% of the total number of shares of common stock issued and outstanding immediately following such conversion, determined in accordance with Rule 13d-3 under the Exchange Act.</w:t>
      </w:r>
    </w:p>
    <w:p>
      <w:pPr>
        <w:spacing w:after="0" w:line="8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certificate of designations for the Series B Convertible Junior Preferred Stock also contains negative covenants limiting how the Company and certain subsidiaries can act. These covenants, among other things, limit the Company and certain subsidiaries’ ability to (i) incur indebtedness, (ii) issue equity interests of the Company ranking pari passu with, or senior in priority to, the Series B Convertible Junior Preferred Stock, (iii) pay dividends or make other distributions and (iv) consummate a change of control without concurrently redeeming the shares of Series B Convertible Junior Preferred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Series B Convertible Junior Preferred Stock, the Company entered into an investor rights agreement (the “Series B Investor Rights Agreement”) with certain holders of the Series B Convertible Junior Preferred Stock. The Series B Investor Rights Agreement sets forth the holders’ right to receive certain quarterly and annual financial and other information of the Company. The Series B Investor Rights Agreement also sets forth registration rights in favor of the holders, restrictions on transfer of shares of Series B Convertible Junior Preferred Stock by the holders and certain holders’ right to designate one individual to serve on the Company’s Board of Directors.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Company has outstanding (i) Series I Warrants entitling the holders thereof to purchase 3,342,566 shares of common stock, at an initial exercise price equal to $10.00 per share (as adjusted in accordance with the Amended and Restated Warrant Agreement, dated as of February 26, 2025, between the Company and Equiniti Trust Company, LLC (the “Warrant Agreement”)), exercisable until the Expiration Time (as defined below); and (ii) Series I-A Warrants entitling the holders thereof to purchase 550,000 shares of common stock, at an exercise price equal to $10.00 per share (as adjusted in accordance with the Warrant Agreement), exercisable until the Expiration Time. Such number of shares of common stock purchasable pursuant to the Warrants (the “Warrant Shares”) may be adjusted from time to time to account for stock splits, dividends and similar items and, in the case of the Series I Warrants, for below-market issuances of common equity. The Warrants will expire (the “Expiration Time”) upon the earlier of August 1, 2030 or a sale of the Company.</w:t>
      </w:r>
    </w:p>
    <w:p>
      <w:pPr>
        <w:sectPr>
          <w:pgSz w:w="11900" w:h="16838" w:orient="portrait"/>
          <w:cols w:equalWidth="0" w:num="1">
            <w:col w:w="11240"/>
          </w:cols>
          <w:pgMar w:left="320" w:top="99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2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provisions of our certificate of incorporation and bylaws that may function to have an anti-takeover effect and may delay, deter or prevent a tender offer or takeover attempt that a stockholder might consider to be in its best interest, including those attempts that might result in a premium over the market price for the shares held by stockholders.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preferred stock will be available for future issuance without obtaining stockholder approval. These additional shares may be utilized for a variety of corporate purposes, including future public offerings to raise additional capital, corporate acquisitions, and employee benefit plans. The existence of authorized but unissued shares of our common stock and preferred stock could render more difficult or discourage an attempt to obtain control over us by means of a proxy contest, tender offer, merger or otherwise.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 Statute-Section 203</w:t>
      </w:r>
    </w:p>
    <w:p>
      <w:pPr>
        <w:spacing w:after="0" w:line="12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We are organized under Delaware law. Some provisions of Delaware law may delay or prevent a transaction that would cause a change in our control. Our certificate of incorporation provides that Section 203 of the Delaware General Corporation Law (the “DGCL”), as amended, an anti-takeover law, will not apply to us.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did own, 15% or more of voting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Restrictions for Corporation Securities</w:t>
      </w:r>
    </w:p>
    <w:p>
      <w:pPr>
        <w:spacing w:after="0" w:line="12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imposes certain restrictions on the transferability and ownership of our common stock, preferred stock, and other interests treated as our “stock” (such stock and other interests, the “Corporation Securities,” such restrictions on transferability and ownership, the “Ownership Restrictions”) by holders who are, or who would become as a result of such transfer, direct or indirect holders of more than 4.8% of our Corporation Securities. Such restrictions are in place in order to preserve our net operating loss carryovers within the meaning of Section 382 of the Internal Revenue Code of 1986, as amended (the “Code”). Any acquisition of Corporation Securities that results in a stockholder being in violation of these restrictions may not be valid. Subject to certain exceptions (including with respect to Initial Substantial Shareholders, as defined in our certificate of incorporation), the Ownership Restrictions restrict (i) any person or entity (including certain groups of persons) from directly or indirectly acquiring 4.8% or more of the outstanding Corporation Securities and (ii) the ability of any person or entity (including certain groups of persons) already owning, directly or indirectly, 4.8% or more of the Corporation Securities to increase their proportionate interest in, or to sell, the Corporation Securities. Any transferee receiving Corporation Securities that would result in a violation of the Ownership Restrictions will not be recognized as an FTAI Infrastructure shareholder or entitled to any rights of shareholders, including, without limitation, the right to vote and receive dividends or distributions, whether liquidating or otherwise, in each case, with respect to the Corporation Securities causing the violation.</w:t>
      </w:r>
    </w:p>
    <w:p>
      <w:pPr>
        <w:spacing w:after="0" w:line="8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Ownership Restrictions will remain in effect until the earlier of (i) the date on which Section 382 of the Code is repealed, amended, or modified in such a way as to render the restrictions imposed by Section 382 of the Code no longer applicable to us or (ii) a determination by the board of directors that</w:t>
      </w:r>
    </w:p>
    <w:p>
      <w:pPr>
        <w:jc w:val="both"/>
        <w:ind w:firstLine="8"/>
        <w:spacing w:after="0" w:line="253" w:lineRule="auto"/>
        <w:tabs>
          <w:tab w:leader="none" w:pos="2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ownership change would not result in a substantial limitation on our ability to use our available net operating loss carryforwards and other tax attributes; (2) no significant value attributable to our available net operating loss carryforwards and other tax attributes would be preserved by continuing the transfer restrictions; or (3) it is not in our best interests to continue the Ownership Restrictions. The Ownership Restrictions may also be waived by the board of directors on a case by case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 of Our Certificate of Incorporation and Bylaws</w:t>
      </w:r>
    </w:p>
    <w:p>
      <w:pPr>
        <w:spacing w:after="0" w:line="121"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board shall consist of not fewer than three and not more than nine directors as the board of directors may from time to time determine. Each class of directors are elected for a three-year term of office, but the terms are staggered so that the term of only one class of directors expires at each annual general meeting. We believe that classification of our board of directors helps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stockholders, instead of one, are generally required to effect a change in a majority of our board of directors.</w:t>
      </w:r>
    </w:p>
    <w:p>
      <w:pPr>
        <w:sectPr>
          <w:pgSz w:w="11900" w:h="16838" w:orient="portrait"/>
          <w:cols w:equalWidth="0" w:num="1">
            <w:col w:w="11240"/>
          </w:cols>
          <w:pgMar w:left="320" w:top="995" w:right="339" w:bottom="1440" w:gutter="0" w:footer="0" w:header="0"/>
        </w:sectPr>
      </w:pPr>
    </w:p>
    <w:bookmarkStart w:id="126" w:name="page127"/>
    <w:bookmarkEnd w:id="126"/>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stockholders to be in their best interest.</w:t>
      </w:r>
    </w:p>
    <w:p>
      <w:pPr>
        <w:spacing w:after="0" w:line="68"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In addition, our certificate of incorporation and bylaws provide that a director may be removed, only for cause, and only by the affirmative vote of at least 80% of the then issued and outstanding shares of common stock entitled to vote in the election of directors.</w:t>
      </w:r>
    </w:p>
    <w:p>
      <w:pPr>
        <w:spacing w:after="0" w:line="54"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In addition, our board of directors has the power to appoint a person as a director to fill a vacancy on our board occurring as a result of the death, removal or resignation of a director, or as a result of an increase in the size of our board of directors.</w:t>
      </w:r>
    </w:p>
    <w:p>
      <w:pPr>
        <w:spacing w:after="0" w:line="5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and bylaws, preferred stock may be issued from time to time, and the board of directors is authorized to determine and alter all designations, preferences, rights, powers and duties without limitation. Our certificate of incorporation and bylaws do not provide our stockholders with the ability to call a special meeting of the stockholders.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of Our Stockholders to Act</w:t>
      </w:r>
    </w:p>
    <w:p>
      <w:pPr>
        <w:spacing w:after="0" w:line="12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do not permit our stockholders to call special stockholders meetings. Special meetings of stockholders may be called by the chairman of our board of directors, if there be one, the chief executive officer, if there be one, or a majority of the board of directors or a committee of the board of directors that has been duly designated by the board of directors and whose powers include the authority to call such meetings. Written notice of any special meeting so called shall be given to each stockholder of record entitled to vote at such meeting not less than 10 or more than 60 days before the date of such meeting, unless otherwise required by law.</w:t>
      </w:r>
    </w:p>
    <w:p>
      <w:pPr>
        <w:spacing w:after="0" w:line="7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also prohibit our stockholders from consenting in writing to take any action in lieu of taking such action at a duly called annual or special meeting of our stockholders.</w:t>
      </w:r>
    </w:p>
    <w:p>
      <w:pPr>
        <w:spacing w:after="0" w:line="54"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certificate of incorporation and bylaws provide that nominations of persons for election to our board of directors may be made at any annual meeting of our stockholders, or at any special meeting of our stockholders called for the purpose of electing directors, (a) by or at the direction of our board of directors or (b) by certain stockholders. In addition to any other applicable requirements, for business to be properly brought before an annual meeting by a stockholder, such stockholder must have given timely notice thereof in proper written form to our Secretary. To be timely, a stockholder’s notice must be delivered to or mailed and received at our principal executive offices (i) in the case of an annual meeting, not less than 90 days nor more than 120 days prior to the anniversary date of the immediately preceding annual meeting of stockholders;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18"/>
          <w:szCs w:val="18"/>
          <w:color w:val="auto"/>
        </w:rPr>
        <w:t>, that in the event that the annual meeting is called for a date that is not within 25 days before or after such anniversary date, notice by a stockholder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 Clause</w:t>
      </w:r>
    </w:p>
    <w:p>
      <w:pPr>
        <w:spacing w:after="0" w:line="12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employees or agents to us or our stockholders; (iii) any action asserting a claim against us or any of our current or former directors, officers, stockholders, employees or agents arising out of or relating to any provision of the DGCL or our certificate of incorporation or our bylaws; or (iv) any action asserting a claim against us or any of our current or former directors, officers, stockholders, employees or agents governed by the internal affairs doctrine of the State of Delaware. Our bylaws also provide that the federal district courts of the United States of America will, to the fullest extent permitted by law, be the sole and exclusive forum for resolving any complaint asserting a cause of action arising under the Securities Act.</w:t>
      </w:r>
    </w:p>
    <w:p>
      <w:pPr>
        <w:spacing w:after="0" w:line="81"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Moreover, Section 27 of the Exchange Act creates exclusive federal jurisdiction over all claims brought to enforce any duty or liability created by the Exchange Act or the rules and regulations thereunder and our bylaws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7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Our bylaws also provide that any person or entity purchasing or otherwise acquiring any interest in shares of our common stock will be deemed to have notice of and to have consented to the foregoing provisions; provided, however, that stockholders will not be deemed to have waived our compliance with the federal securities laws and the rules and regulations thereunder. We recognize that the forum selection clause in our bylaws may impose additional litigation costs on stockholders in pursuing any</w:t>
      </w:r>
    </w:p>
    <w:p>
      <w:pPr>
        <w:sectPr>
          <w:pgSz w:w="11900" w:h="16838" w:orient="portrait"/>
          <w:cols w:equalWidth="0" w:num="1">
            <w:col w:w="11240"/>
          </w:cols>
          <w:pgMar w:left="320" w:top="999" w:right="339" w:bottom="1440" w:gutter="0" w:footer="0" w:header="0"/>
        </w:sectPr>
      </w:pPr>
    </w:p>
    <w:bookmarkStart w:id="127" w:name="page128"/>
    <w:bookmarkEnd w:id="127"/>
    <w:p>
      <w:pPr>
        <w:jc w:val="both"/>
        <w:spacing w:after="0" w:line="256" w:lineRule="auto"/>
        <w:rPr>
          <w:sz w:val="20"/>
          <w:szCs w:val="20"/>
          <w:color w:val="auto"/>
        </w:rPr>
      </w:pPr>
      <w:r>
        <w:rPr>
          <w:rFonts w:ascii="Times New Roman" w:cs="Times New Roman" w:eastAsia="Times New Roman" w:hAnsi="Times New Roman"/>
          <w:sz w:val="18"/>
          <w:szCs w:val="18"/>
          <w:color w:val="auto"/>
        </w:rPr>
        <w:t>such claims, particularly if the stockholders do not reside in or near the State of Delaware. Additionally, the forum selection clause in our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Opportunity</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our certificate of incorporation, to the extent permitted by law:</w:t>
      </w:r>
    </w:p>
    <w:p>
      <w:pPr>
        <w:spacing w:after="0" w:line="158" w:lineRule="exact"/>
        <w:rPr>
          <w:sz w:val="20"/>
          <w:szCs w:val="20"/>
          <w:color w:val="auto"/>
        </w:rPr>
      </w:pPr>
    </w:p>
    <w:p>
      <w:pPr>
        <w:jc w:val="both"/>
        <w:ind w:left="660" w:hanging="328"/>
        <w:spacing w:after="0" w:line="247" w:lineRule="auto"/>
        <w:tabs>
          <w:tab w:leader="none" w:pos="628" w:val="left"/>
        </w:tabs>
        <w:numPr>
          <w:ilvl w:val="0"/>
          <w:numId w:val="67"/>
        </w:numPr>
        <w:rPr>
          <w:rFonts w:ascii="Arial" w:cs="Arial" w:eastAsia="Arial" w:hAnsi="Arial"/>
          <w:sz w:val="22"/>
          <w:szCs w:val="22"/>
          <w:color w:val="auto"/>
        </w:rPr>
      </w:pPr>
      <w:r>
        <w:rPr>
          <w:rFonts w:ascii="Times New Roman" w:cs="Times New Roman" w:eastAsia="Times New Roman" w:hAnsi="Times New Roman"/>
          <w:sz w:val="18"/>
          <w:szCs w:val="18"/>
          <w:color w:val="auto"/>
        </w:rPr>
        <w:t>Fortress Investment Group LLC, funds managed by Fortress Investment Group LLC, certain other Fortress related persons and their respective affiliates (the “Fortress Parties”) and Ares Management LLC and its affiliates or managed funds and their affiliates (the “Ares Parties”)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126" w:lineRule="exact"/>
        <w:rPr>
          <w:rFonts w:ascii="Arial" w:cs="Arial" w:eastAsia="Arial" w:hAnsi="Arial"/>
          <w:sz w:val="22"/>
          <w:szCs w:val="22"/>
          <w:color w:val="auto"/>
        </w:rPr>
      </w:pPr>
    </w:p>
    <w:p>
      <w:pPr>
        <w:ind w:left="660" w:right="20" w:hanging="328"/>
        <w:spacing w:after="0" w:line="234" w:lineRule="auto"/>
        <w:tabs>
          <w:tab w:leader="none" w:pos="628" w:val="left"/>
        </w:tabs>
        <w:numPr>
          <w:ilvl w:val="0"/>
          <w:numId w:val="67"/>
        </w:numPr>
        <w:rPr>
          <w:rFonts w:ascii="Arial" w:cs="Arial" w:eastAsia="Arial" w:hAnsi="Arial"/>
          <w:sz w:val="22"/>
          <w:szCs w:val="22"/>
          <w:color w:val="auto"/>
        </w:rPr>
      </w:pPr>
      <w:r>
        <w:rPr>
          <w:rFonts w:ascii="Times New Roman" w:cs="Times New Roman" w:eastAsia="Times New Roman" w:hAnsi="Times New Roman"/>
          <w:sz w:val="18"/>
          <w:szCs w:val="18"/>
          <w:color w:val="auto"/>
        </w:rPr>
        <w:t>if the Fortress Parties or the Ares Parties, or any of each of their officers, directors or employees acquire knowledge of a potential transaction that could be a corporate opportunity, each has no duty to offer such corporate opportunity to us, our stockholders or affiliates;</w:t>
      </w:r>
    </w:p>
    <w:p>
      <w:pPr>
        <w:spacing w:after="0" w:line="113" w:lineRule="exact"/>
        <w:rPr>
          <w:rFonts w:ascii="Arial" w:cs="Arial" w:eastAsia="Arial" w:hAnsi="Arial"/>
          <w:sz w:val="22"/>
          <w:szCs w:val="22"/>
          <w:color w:val="auto"/>
        </w:rPr>
      </w:pPr>
    </w:p>
    <w:p>
      <w:pPr>
        <w:ind w:left="620" w:hanging="288"/>
        <w:spacing w:after="0"/>
        <w:tabs>
          <w:tab w:leader="none" w:pos="620" w:val="left"/>
        </w:tabs>
        <w:numPr>
          <w:ilvl w:val="0"/>
          <w:numId w:val="67"/>
        </w:numPr>
        <w:rPr>
          <w:rFonts w:ascii="Arial" w:cs="Arial" w:eastAsia="Arial" w:hAnsi="Arial"/>
          <w:sz w:val="22"/>
          <w:szCs w:val="22"/>
          <w:color w:val="auto"/>
        </w:rPr>
      </w:pPr>
      <w:r>
        <w:rPr>
          <w:rFonts w:ascii="Times New Roman" w:cs="Times New Roman" w:eastAsia="Times New Roman" w:hAnsi="Times New Roman"/>
          <w:sz w:val="18"/>
          <w:szCs w:val="18"/>
          <w:color w:val="auto"/>
        </w:rPr>
        <w:t>we have renounced any interest or expectancy in, or in being offered an opportunity to participate in, such corporate opportunities; and</w:t>
      </w:r>
    </w:p>
    <w:p>
      <w:pPr>
        <w:spacing w:after="0" w:line="130" w:lineRule="exact"/>
        <w:rPr>
          <w:rFonts w:ascii="Arial" w:cs="Arial" w:eastAsia="Arial" w:hAnsi="Arial"/>
          <w:sz w:val="22"/>
          <w:szCs w:val="22"/>
          <w:color w:val="auto"/>
        </w:rPr>
      </w:pPr>
    </w:p>
    <w:p>
      <w:pPr>
        <w:jc w:val="both"/>
        <w:ind w:left="660" w:hanging="328"/>
        <w:spacing w:after="0" w:line="244" w:lineRule="auto"/>
        <w:tabs>
          <w:tab w:leader="none" w:pos="628" w:val="left"/>
        </w:tabs>
        <w:numPr>
          <w:ilvl w:val="0"/>
          <w:numId w:val="67"/>
        </w:numPr>
        <w:rPr>
          <w:rFonts w:ascii="Arial" w:cs="Arial" w:eastAsia="Arial" w:hAnsi="Arial"/>
          <w:sz w:val="22"/>
          <w:szCs w:val="22"/>
          <w:color w:val="auto"/>
        </w:rPr>
      </w:pPr>
      <w:r>
        <w:rPr>
          <w:rFonts w:ascii="Times New Roman" w:cs="Times New Roman" w:eastAsia="Times New Roman" w:hAnsi="Times New Roman"/>
          <w:sz w:val="18"/>
          <w:szCs w:val="18"/>
          <w:color w:val="auto"/>
        </w:rPr>
        <w:t>in the event that any of our directors and officers who is also a director, officer or employee of any of the Fortress Parties or the Ares Parties, acquire knowledge of a corporate opportunity or is offered a corporate opportunity, provided that this knowledge was not acquired solely in such person’s capacity as our director or officer and such person acted in good faith, then such person is deemed to have fully satisfied such person’s fiduciary duty and is not liable to us if any of the Fortress Parties or the Ares Parties pursues or acquires the corporate opportunity or if such person did not present the corporate opportunity to us.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Transfer Agent</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registrar and transfer agent for our common stock is Equiniti Trust Company LLC, 48 Wall Street, Floor 23, New York, New York 10005.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“FIP.”</w:t>
      </w:r>
    </w:p>
    <w:p>
      <w:pPr>
        <w:sectPr>
          <w:pgSz w:w="11900" w:h="16838" w:orient="portrait"/>
          <w:cols w:equalWidth="0" w:num="1">
            <w:col w:w="11240"/>
          </w:cols>
          <w:pgMar w:left="320" w:top="999"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23"/>
        </w:trPr>
        <w:tc>
          <w:tcPr>
            <w:tcW w:w="4060" w:type="dxa"/>
            <w:vAlign w:val="bottom"/>
          </w:tcPr>
          <w:p>
            <w:pPr>
              <w:spacing w:after="0"/>
              <w:rPr>
                <w:sz w:val="19"/>
                <w:szCs w:val="19"/>
                <w:color w:val="auto"/>
              </w:rPr>
            </w:pPr>
          </w:p>
        </w:tc>
        <w:tc>
          <w:tcPr>
            <w:tcW w:w="7180" w:type="dxa"/>
            <w:vAlign w:val="bottom"/>
          </w:tcPr>
          <w:p>
            <w:pPr>
              <w:ind w:left="1120"/>
              <w:spacing w:after="0"/>
              <w:rPr>
                <w:sz w:val="20"/>
                <w:szCs w:val="20"/>
                <w:color w:val="auto"/>
              </w:rPr>
            </w:pPr>
            <w:r>
              <w:rPr>
                <w:rFonts w:ascii="Arial" w:cs="Arial" w:eastAsia="Arial" w:hAnsi="Arial"/>
                <w:sz w:val="16"/>
                <w:szCs w:val="16"/>
                <w:b w:val="1"/>
                <w:bCs w:val="1"/>
                <w:color w:val="auto"/>
              </w:rPr>
              <w:t>Exhibit 21.1</w:t>
            </w:r>
          </w:p>
        </w:tc>
      </w:tr>
      <w:tr>
        <w:trPr>
          <w:trHeight w:val="20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7180" w:type="dxa"/>
            <w:vAlign w:val="bottom"/>
            <w:tcBorders>
              <w:bottom w:val="single" w:sz="8" w:color="auto"/>
            </w:tcBorders>
          </w:tcPr>
          <w:p>
            <w:pPr>
              <w:ind w:left="4260"/>
              <w:spacing w:after="0"/>
              <w:rPr>
                <w:sz w:val="20"/>
                <w:szCs w:val="20"/>
                <w:color w:val="auto"/>
              </w:rPr>
            </w:pPr>
            <w:r>
              <w:rPr>
                <w:rFonts w:ascii="Arial" w:cs="Arial" w:eastAsia="Arial" w:hAnsi="Arial"/>
                <w:sz w:val="14"/>
                <w:szCs w:val="14"/>
                <w:b w:val="1"/>
                <w:bCs w:val="1"/>
                <w:color w:val="auto"/>
              </w:rPr>
              <w:t>State of Incorporation/Formation</w:t>
            </w:r>
          </w:p>
        </w:tc>
      </w:tr>
      <w:tr>
        <w:trPr>
          <w:trHeight w:val="19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Akron Barbeton Cluster Railway Corporation</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Ohio</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ARM Investment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Birmingham Southern Railroad Company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Alabama</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CFC Investment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 Lender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Clean Planet Energy USA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Clean Planet Energy AL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Clean Planet Energy SC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CPE Investor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CPE Repauno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 River Partners Holdco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Delaware River Partners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Delray Connecting Railroad Company Inc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Michigan</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DRP Trading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Urban Renewal 1,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New Jersey</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DRP Urban Renewal 2, LLC</w:t>
            </w:r>
          </w:p>
        </w:tc>
        <w:tc>
          <w:tcPr>
            <w:tcW w:w="7180" w:type="dxa"/>
            <w:vAlign w:val="bottom"/>
          </w:tcPr>
          <w:p>
            <w:pPr>
              <w:ind w:left="4260"/>
              <w:spacing w:after="0"/>
              <w:rPr>
                <w:sz w:val="20"/>
                <w:szCs w:val="20"/>
                <w:color w:val="auto"/>
              </w:rPr>
            </w:pPr>
            <w:r>
              <w:rPr>
                <w:rFonts w:ascii="Arial" w:cs="Arial" w:eastAsia="Arial" w:hAnsi="Arial"/>
                <w:sz w:val="14"/>
                <w:szCs w:val="14"/>
                <w:color w:val="auto"/>
              </w:rPr>
              <w:t>New Jersey</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Urban Renewal 3,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New Jersey</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DRP Urban Renewal 4,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Urban Renewal 5,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East Ohio Valley Railway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ECM Investment Holdco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ECM Investment Parent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ECM Investment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Fairfield Southern Company, LLC</w:t>
            </w:r>
          </w:p>
        </w:tc>
        <w:tc>
          <w:tcPr>
            <w:tcW w:w="7180" w:type="dxa"/>
            <w:vAlign w:val="bottom"/>
          </w:tcPr>
          <w:p>
            <w:pPr>
              <w:ind w:left="4260"/>
              <w:spacing w:after="0"/>
              <w:rPr>
                <w:sz w:val="20"/>
                <w:szCs w:val="20"/>
                <w:color w:val="auto"/>
              </w:rPr>
            </w:pPr>
            <w:r>
              <w:rPr>
                <w:rFonts w:ascii="Arial" w:cs="Arial" w:eastAsia="Arial" w:hAnsi="Arial"/>
                <w:sz w:val="14"/>
                <w:szCs w:val="14"/>
                <w:color w:val="auto"/>
              </w:rPr>
              <w:t>Alabama</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FIP RR Holding Company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FIP RR Holdings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6"/>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FIP RR 1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FIP RR 2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Co 1 Ltd.</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Bermuda</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FTAI Energy Co 1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Development Holdings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FTAI Energy Downstream Holdings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Holdings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FTAI Energy Marketing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Midstream Holdings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FTAI Energy Partners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Holdings Sub I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FTAI Energy Holdings Sub II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Midstream GP Holdings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FTAI Midstream GP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Midstream Holdings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FTAI Partner Holdings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Railcar Holdings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FYX Fleet, LLC (f/k/a TRAC Interstar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FYX Trust Holdco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FFFXY Holdco LLC</w:t>
            </w:r>
          </w:p>
        </w:tc>
        <w:tc>
          <w:tcPr>
            <w:tcW w:w="7180" w:type="dxa"/>
            <w:vAlign w:val="bottom"/>
          </w:tcPr>
          <w:p>
            <w:pPr>
              <w:ind w:left="4260"/>
              <w:spacing w:after="0"/>
              <w:rPr>
                <w:sz w:val="20"/>
                <w:szCs w:val="20"/>
                <w:color w:val="auto"/>
              </w:rPr>
            </w:pPr>
            <w:r>
              <w:rPr>
                <w:rFonts w:ascii="Arial" w:cs="Arial" w:eastAsia="Arial" w:hAnsi="Arial"/>
                <w:sz w:val="14"/>
                <w:szCs w:val="14"/>
                <w:color w:val="auto"/>
              </w:rPr>
              <w:t>Delaware</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FFFYX LLC</w:t>
            </w:r>
          </w:p>
        </w:tc>
        <w:tc>
          <w:tcPr>
            <w:tcW w:w="7180" w:type="dxa"/>
            <w:vAlign w:val="bottom"/>
            <w:shd w:val="clear" w:color="auto" w:fill="CCEEFF"/>
          </w:tcPr>
          <w:p>
            <w:pPr>
              <w:ind w:left="426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40"/>
          </w:cols>
          <w:pgMar w:left="320" w:top="895"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498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State of Incorporation/Formation</w:t>
            </w:r>
          </w:p>
        </w:tc>
      </w:tr>
      <w:tr>
        <w:trPr>
          <w:trHeight w:val="193"/>
        </w:trPr>
        <w:tc>
          <w:tcPr>
            <w:tcW w:w="6260" w:type="dxa"/>
            <w:vAlign w:val="bottom"/>
          </w:tcPr>
          <w:p>
            <w:pPr>
              <w:ind w:left="20"/>
              <w:spacing w:after="0"/>
              <w:rPr>
                <w:sz w:val="20"/>
                <w:szCs w:val="20"/>
                <w:color w:val="auto"/>
              </w:rPr>
            </w:pPr>
            <w:r>
              <w:rPr>
                <w:rFonts w:ascii="Arial" w:cs="Arial" w:eastAsia="Arial" w:hAnsi="Arial"/>
                <w:sz w:val="14"/>
                <w:szCs w:val="14"/>
                <w:color w:val="auto"/>
              </w:rPr>
              <w:t>FYX Holdco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FYX Owner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Gary Railway Company,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GM-FTAI Holdco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Intermodal Finance I Ltd. (process of dissolution)</w:t>
            </w:r>
          </w:p>
        </w:tc>
        <w:tc>
          <w:tcPr>
            <w:tcW w:w="4980" w:type="dxa"/>
            <w:vAlign w:val="bottom"/>
          </w:tcPr>
          <w:p>
            <w:pPr>
              <w:ind w:left="2060"/>
              <w:spacing w:after="0"/>
              <w:rPr>
                <w:sz w:val="20"/>
                <w:szCs w:val="20"/>
                <w:color w:val="auto"/>
              </w:rPr>
            </w:pPr>
            <w:r>
              <w:rPr>
                <w:rFonts w:ascii="Arial" w:cs="Arial" w:eastAsia="Arial" w:hAnsi="Arial"/>
                <w:sz w:val="14"/>
                <w:szCs w:val="14"/>
                <w:color w:val="auto"/>
              </w:rPr>
              <w:t>Cayman Islands</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Operations, Inc.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Ohio</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JCCOM Holdco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2010 Bond Holdings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2012 Bond Holdings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2020 Bond Borrower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2020 Bond Lessee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Canadian Crude Oil Marketing ULC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Canada</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Cross Channel Pipeline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Docks I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DRE Liabilities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Energy Canco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Energy Marketing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Ethanol Holdings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Gas Processing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Connector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Gulf Coast Energy Holdings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Energy Partners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Gulf Coast Management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Real Estate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LNG Holdings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Pipeline I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Railport Terminal I (Texas) LLC</w:t>
            </w:r>
          </w:p>
        </w:tc>
        <w:tc>
          <w:tcPr>
            <w:tcW w:w="4980" w:type="dxa"/>
            <w:vAlign w:val="bottom"/>
          </w:tcPr>
          <w:p>
            <w:pPr>
              <w:ind w:left="2060"/>
              <w:spacing w:after="0"/>
              <w:rPr>
                <w:sz w:val="20"/>
                <w:szCs w:val="20"/>
                <w:color w:val="auto"/>
              </w:rPr>
            </w:pPr>
            <w:r>
              <w:rPr>
                <w:rFonts w:ascii="Arial" w:cs="Arial" w:eastAsia="Arial" w:hAnsi="Arial"/>
                <w:sz w:val="14"/>
                <w:szCs w:val="14"/>
                <w:color w:val="auto"/>
              </w:rPr>
              <w:t>Texas</w:t>
            </w:r>
          </w:p>
        </w:tc>
      </w:tr>
      <w:tr>
        <w:trPr>
          <w:trHeight w:val="206"/>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Railport Terminal I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9"/>
        </w:trPr>
        <w:tc>
          <w:tcPr>
            <w:tcW w:w="6260" w:type="dxa"/>
            <w:vAlign w:val="bottom"/>
          </w:tcPr>
          <w:p>
            <w:pPr>
              <w:ind w:left="20"/>
              <w:spacing w:after="0"/>
              <w:rPr>
                <w:sz w:val="20"/>
                <w:szCs w:val="20"/>
                <w:color w:val="auto"/>
              </w:rPr>
            </w:pPr>
            <w:r>
              <w:rPr>
                <w:rFonts w:ascii="Arial" w:cs="Arial" w:eastAsia="Arial" w:hAnsi="Arial"/>
                <w:sz w:val="14"/>
                <w:szCs w:val="14"/>
                <w:color w:val="auto"/>
              </w:rPr>
              <w:t>Jefferson Railport Terminal II Holdings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6"/>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Railport Terminal II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Southern Star Pipeline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Storage I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Terminal Logistics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Terminal South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Jefferson Truck Terminal I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JGC Holdco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JGC Investment Holdings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JGC Management Holdings Inc.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JGP Energy Partners LLC (f/k/a Jefferson Ethanol Partners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KAT Holdco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Katahdin Railcar Services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Energy Generation LLC (f/k/a Ohio Powerco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Long Ridge Retail Electric Supplier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Energy &amp; Power LLC (f/k/a Long Ridge Terminal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Long Ridge West Virginia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Gasco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Ohio River Partners Finance LLC</w:t>
            </w:r>
          </w:p>
        </w:tc>
        <w:tc>
          <w:tcPr>
            <w:tcW w:w="4980" w:type="dxa"/>
            <w:vAlign w:val="bottom"/>
          </w:tcPr>
          <w:p>
            <w:pPr>
              <w:ind w:left="2060"/>
              <w:spacing w:after="0"/>
              <w:rPr>
                <w:sz w:val="20"/>
                <w:szCs w:val="20"/>
                <w:color w:val="auto"/>
              </w:rPr>
            </w:pPr>
            <w:r>
              <w:rPr>
                <w:rFonts w:ascii="Arial" w:cs="Arial" w:eastAsia="Arial" w:hAnsi="Arial"/>
                <w:sz w:val="14"/>
                <w:szCs w:val="14"/>
                <w:color w:val="auto"/>
              </w:rPr>
              <w:t>Delaware</w:t>
            </w: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River Partners Holdco LLC</w:t>
            </w:r>
          </w:p>
        </w:tc>
        <w:tc>
          <w:tcPr>
            <w:tcW w:w="4980" w:type="dxa"/>
            <w:vAlign w:val="bottom"/>
            <w:shd w:val="clear" w:color="auto" w:fill="CCEEFF"/>
          </w:tcPr>
          <w:p>
            <w:pPr>
              <w:ind w:left="206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40"/>
          </w:cols>
          <w:pgMar w:left="320" w:top="940" w:right="3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522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State of Incorporation/Formation</w:t>
            </w:r>
          </w:p>
        </w:tc>
      </w:tr>
      <w:tr>
        <w:trPr>
          <w:trHeight w:val="193"/>
        </w:trPr>
        <w:tc>
          <w:tcPr>
            <w:tcW w:w="6020" w:type="dxa"/>
            <w:vAlign w:val="bottom"/>
          </w:tcPr>
          <w:p>
            <w:pPr>
              <w:ind w:left="20"/>
              <w:spacing w:after="0"/>
              <w:rPr>
                <w:sz w:val="20"/>
                <w:szCs w:val="20"/>
                <w:color w:val="auto"/>
              </w:rPr>
            </w:pPr>
            <w:r>
              <w:rPr>
                <w:rFonts w:ascii="Arial" w:cs="Arial" w:eastAsia="Arial" w:hAnsi="Arial"/>
                <w:sz w:val="14"/>
                <w:szCs w:val="14"/>
                <w:color w:val="auto"/>
              </w:rPr>
              <w:t>Ohio River Partners Shareholder LLC</w:t>
            </w:r>
          </w:p>
        </w:tc>
        <w:tc>
          <w:tcPr>
            <w:tcW w:w="5220" w:type="dxa"/>
            <w:vAlign w:val="bottom"/>
          </w:tcPr>
          <w:p>
            <w:pPr>
              <w:ind w:left="2300"/>
              <w:spacing w:after="0"/>
              <w:rPr>
                <w:sz w:val="20"/>
                <w:szCs w:val="20"/>
                <w:color w:val="auto"/>
              </w:rPr>
            </w:pPr>
            <w:r>
              <w:rPr>
                <w:rFonts w:ascii="Arial" w:cs="Arial" w:eastAsia="Arial" w:hAnsi="Arial"/>
                <w:sz w:val="14"/>
                <w:szCs w:val="14"/>
                <w:color w:val="auto"/>
              </w:rPr>
              <w:t>Delaware</w:t>
            </w:r>
          </w:p>
        </w:tc>
      </w:tr>
      <w:tr>
        <w:trPr>
          <w:trHeight w:val="20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Energy LLC (f/k/a Ohio River PP Holdco LLC)</w:t>
            </w:r>
          </w:p>
        </w:tc>
        <w:tc>
          <w:tcPr>
            <w:tcW w:w="52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Delaware</w:t>
            </w:r>
          </w:p>
        </w:tc>
      </w:tr>
      <w:tr>
        <w:trPr>
          <w:trHeight w:val="198"/>
        </w:trPr>
        <w:tc>
          <w:tcPr>
            <w:tcW w:w="6020" w:type="dxa"/>
            <w:vAlign w:val="bottom"/>
          </w:tcPr>
          <w:p>
            <w:pPr>
              <w:ind w:left="20"/>
              <w:spacing w:after="0"/>
              <w:rPr>
                <w:sz w:val="20"/>
                <w:szCs w:val="20"/>
                <w:color w:val="auto"/>
              </w:rPr>
            </w:pPr>
            <w:r>
              <w:rPr>
                <w:rFonts w:ascii="Arial" w:cs="Arial" w:eastAsia="Arial" w:hAnsi="Arial"/>
                <w:sz w:val="14"/>
                <w:szCs w:val="14"/>
                <w:color w:val="auto"/>
              </w:rPr>
              <w:t>Percy Acquisition LLC</w:t>
            </w:r>
          </w:p>
        </w:tc>
        <w:tc>
          <w:tcPr>
            <w:tcW w:w="5220" w:type="dxa"/>
            <w:vAlign w:val="bottom"/>
          </w:tcPr>
          <w:p>
            <w:pPr>
              <w:ind w:left="2300"/>
              <w:spacing w:after="0"/>
              <w:rPr>
                <w:sz w:val="20"/>
                <w:szCs w:val="20"/>
                <w:color w:val="auto"/>
              </w:rPr>
            </w:pPr>
            <w:r>
              <w:rPr>
                <w:rFonts w:ascii="Arial" w:cs="Arial" w:eastAsia="Arial" w:hAnsi="Arial"/>
                <w:sz w:val="14"/>
                <w:szCs w:val="14"/>
                <w:color w:val="auto"/>
              </w:rPr>
              <w:t>Delaware</w:t>
            </w:r>
          </w:p>
        </w:tc>
      </w:tr>
      <w:tr>
        <w:trPr>
          <w:trHeight w:val="20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Pyroplast Energy Ltd</w:t>
            </w:r>
          </w:p>
        </w:tc>
        <w:tc>
          <w:tcPr>
            <w:tcW w:w="52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England and Wales</w:t>
            </w:r>
          </w:p>
        </w:tc>
      </w:tr>
      <w:tr>
        <w:trPr>
          <w:trHeight w:val="198"/>
        </w:trPr>
        <w:tc>
          <w:tcPr>
            <w:tcW w:w="6020" w:type="dxa"/>
            <w:vAlign w:val="bottom"/>
          </w:tcPr>
          <w:p>
            <w:pPr>
              <w:ind w:left="20"/>
              <w:spacing w:after="0"/>
              <w:rPr>
                <w:sz w:val="20"/>
                <w:szCs w:val="20"/>
                <w:color w:val="auto"/>
              </w:rPr>
            </w:pPr>
            <w:r>
              <w:rPr>
                <w:rFonts w:ascii="Arial" w:cs="Arial" w:eastAsia="Arial" w:hAnsi="Arial"/>
                <w:sz w:val="14"/>
                <w:szCs w:val="14"/>
                <w:color w:val="auto"/>
              </w:rPr>
              <w:t>Repauno Financing Holdco LLC</w:t>
            </w:r>
          </w:p>
        </w:tc>
        <w:tc>
          <w:tcPr>
            <w:tcW w:w="5220" w:type="dxa"/>
            <w:vAlign w:val="bottom"/>
          </w:tcPr>
          <w:p>
            <w:pPr>
              <w:ind w:left="2300"/>
              <w:spacing w:after="0"/>
              <w:rPr>
                <w:sz w:val="20"/>
                <w:szCs w:val="20"/>
                <w:color w:val="auto"/>
              </w:rPr>
            </w:pPr>
            <w:r>
              <w:rPr>
                <w:rFonts w:ascii="Arial" w:cs="Arial" w:eastAsia="Arial" w:hAnsi="Arial"/>
                <w:sz w:val="14"/>
                <w:szCs w:val="14"/>
                <w:color w:val="auto"/>
              </w:rPr>
              <w:t>Delaware</w:t>
            </w:r>
          </w:p>
        </w:tc>
      </w:tr>
      <w:tr>
        <w:trPr>
          <w:trHeight w:val="20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 &amp; Northern Railway Company, LLC</w:t>
            </w:r>
          </w:p>
        </w:tc>
        <w:tc>
          <w:tcPr>
            <w:tcW w:w="52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Texas</w:t>
            </w:r>
          </w:p>
        </w:tc>
      </w:tr>
      <w:tr>
        <w:trPr>
          <w:trHeight w:val="198"/>
        </w:trPr>
        <w:tc>
          <w:tcPr>
            <w:tcW w:w="6020" w:type="dxa"/>
            <w:vAlign w:val="bottom"/>
          </w:tcPr>
          <w:p>
            <w:pPr>
              <w:ind w:left="20"/>
              <w:spacing w:after="0"/>
              <w:rPr>
                <w:sz w:val="20"/>
                <w:szCs w:val="20"/>
                <w:color w:val="auto"/>
              </w:rPr>
            </w:pPr>
            <w:r>
              <w:rPr>
                <w:rFonts w:ascii="Arial" w:cs="Arial" w:eastAsia="Arial" w:hAnsi="Arial"/>
                <w:sz w:val="14"/>
                <w:szCs w:val="14"/>
                <w:color w:val="auto"/>
              </w:rPr>
              <w:t>The Lake Terminal Railroad Company, LLC</w:t>
            </w:r>
          </w:p>
        </w:tc>
        <w:tc>
          <w:tcPr>
            <w:tcW w:w="5220" w:type="dxa"/>
            <w:vAlign w:val="bottom"/>
          </w:tcPr>
          <w:p>
            <w:pPr>
              <w:ind w:left="2300"/>
              <w:spacing w:after="0"/>
              <w:rPr>
                <w:sz w:val="20"/>
                <w:szCs w:val="20"/>
                <w:color w:val="auto"/>
              </w:rPr>
            </w:pPr>
            <w:r>
              <w:rPr>
                <w:rFonts w:ascii="Arial" w:cs="Arial" w:eastAsia="Arial" w:hAnsi="Arial"/>
                <w:sz w:val="14"/>
                <w:szCs w:val="14"/>
                <w:color w:val="auto"/>
              </w:rPr>
              <w:t>Delaware</w:t>
            </w:r>
          </w:p>
        </w:tc>
      </w:tr>
      <w:tr>
        <w:trPr>
          <w:trHeight w:val="20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Wheeling Corporation</w:t>
            </w:r>
          </w:p>
        </w:tc>
        <w:tc>
          <w:tcPr>
            <w:tcW w:w="52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Delaware</w:t>
            </w:r>
          </w:p>
        </w:tc>
      </w:tr>
      <w:tr>
        <w:trPr>
          <w:trHeight w:val="198"/>
        </w:trPr>
        <w:tc>
          <w:tcPr>
            <w:tcW w:w="6020" w:type="dxa"/>
            <w:vAlign w:val="bottom"/>
          </w:tcPr>
          <w:p>
            <w:pPr>
              <w:ind w:left="20"/>
              <w:spacing w:after="0"/>
              <w:rPr>
                <w:sz w:val="20"/>
                <w:szCs w:val="20"/>
                <w:color w:val="auto"/>
              </w:rPr>
            </w:pPr>
            <w:r>
              <w:rPr>
                <w:rFonts w:ascii="Arial" w:cs="Arial" w:eastAsia="Arial" w:hAnsi="Arial"/>
                <w:sz w:val="14"/>
                <w:szCs w:val="14"/>
                <w:color w:val="auto"/>
              </w:rPr>
              <w:t>Transtar LLC</w:t>
            </w:r>
          </w:p>
        </w:tc>
        <w:tc>
          <w:tcPr>
            <w:tcW w:w="5220" w:type="dxa"/>
            <w:vAlign w:val="bottom"/>
          </w:tcPr>
          <w:p>
            <w:pPr>
              <w:ind w:left="2300"/>
              <w:spacing w:after="0"/>
              <w:rPr>
                <w:sz w:val="20"/>
                <w:szCs w:val="20"/>
                <w:color w:val="auto"/>
              </w:rPr>
            </w:pPr>
            <w:r>
              <w:rPr>
                <w:rFonts w:ascii="Arial" w:cs="Arial" w:eastAsia="Arial" w:hAnsi="Arial"/>
                <w:sz w:val="14"/>
                <w:szCs w:val="14"/>
                <w:color w:val="auto"/>
              </w:rPr>
              <w:t>Delaware</w:t>
            </w:r>
          </w:p>
        </w:tc>
      </w:tr>
      <w:tr>
        <w:trPr>
          <w:trHeight w:val="20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Union Railroad Company LLC</w:t>
            </w:r>
          </w:p>
        </w:tc>
        <w:tc>
          <w:tcPr>
            <w:tcW w:w="52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Delaware</w:t>
            </w:r>
          </w:p>
        </w:tc>
      </w:tr>
      <w:tr>
        <w:trPr>
          <w:trHeight w:val="198"/>
        </w:trPr>
        <w:tc>
          <w:tcPr>
            <w:tcW w:w="6020" w:type="dxa"/>
            <w:vAlign w:val="bottom"/>
          </w:tcPr>
          <w:p>
            <w:pPr>
              <w:ind w:left="20"/>
              <w:spacing w:after="0"/>
              <w:rPr>
                <w:sz w:val="20"/>
                <w:szCs w:val="20"/>
                <w:color w:val="auto"/>
              </w:rPr>
            </w:pPr>
            <w:r>
              <w:rPr>
                <w:rFonts w:ascii="Arial" w:cs="Arial" w:eastAsia="Arial" w:hAnsi="Arial"/>
                <w:sz w:val="14"/>
                <w:szCs w:val="14"/>
                <w:color w:val="auto"/>
              </w:rPr>
              <w:t>Wheeling &amp; Lake Erie Railway Company</w:t>
            </w:r>
          </w:p>
        </w:tc>
        <w:tc>
          <w:tcPr>
            <w:tcW w:w="5220" w:type="dxa"/>
            <w:vAlign w:val="bottom"/>
          </w:tcPr>
          <w:p>
            <w:pPr>
              <w:ind w:left="2300"/>
              <w:spacing w:after="0"/>
              <w:rPr>
                <w:sz w:val="20"/>
                <w:szCs w:val="20"/>
                <w:color w:val="auto"/>
              </w:rPr>
            </w:pPr>
            <w:r>
              <w:rPr>
                <w:rFonts w:ascii="Arial" w:cs="Arial" w:eastAsia="Arial" w:hAnsi="Arial"/>
                <w:sz w:val="14"/>
                <w:szCs w:val="14"/>
                <w:color w:val="auto"/>
              </w:rPr>
              <w:t>Ohio</w:t>
            </w:r>
          </w:p>
        </w:tc>
      </w:tr>
      <w:tr>
        <w:trPr>
          <w:trHeight w:val="20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Container Holdco Ltd.</w:t>
            </w:r>
          </w:p>
        </w:tc>
        <w:tc>
          <w:tcPr>
            <w:tcW w:w="52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Bermuda</w:t>
            </w:r>
          </w:p>
        </w:tc>
      </w:tr>
      <w:tr>
        <w:trPr>
          <w:trHeight w:val="194"/>
        </w:trPr>
        <w:tc>
          <w:tcPr>
            <w:tcW w:w="6020" w:type="dxa"/>
            <w:vAlign w:val="bottom"/>
          </w:tcPr>
          <w:p>
            <w:pPr>
              <w:ind w:left="20"/>
              <w:spacing w:after="0"/>
              <w:rPr>
                <w:sz w:val="20"/>
                <w:szCs w:val="20"/>
                <w:color w:val="auto"/>
              </w:rPr>
            </w:pPr>
            <w:r>
              <w:rPr>
                <w:rFonts w:ascii="Arial" w:cs="Arial" w:eastAsia="Arial" w:hAnsi="Arial"/>
                <w:sz w:val="14"/>
                <w:szCs w:val="14"/>
                <w:color w:val="auto"/>
              </w:rPr>
              <w:t>WWTAI Container I Ltd.</w:t>
            </w:r>
          </w:p>
        </w:tc>
        <w:tc>
          <w:tcPr>
            <w:tcW w:w="5220" w:type="dxa"/>
            <w:vAlign w:val="bottom"/>
          </w:tcPr>
          <w:p>
            <w:pPr>
              <w:ind w:left="2300"/>
              <w:spacing w:after="0"/>
              <w:rPr>
                <w:sz w:val="20"/>
                <w:szCs w:val="20"/>
                <w:color w:val="auto"/>
              </w:rPr>
            </w:pPr>
            <w:r>
              <w:rPr>
                <w:rFonts w:ascii="Arial" w:cs="Arial" w:eastAsia="Arial" w:hAnsi="Arial"/>
                <w:sz w:val="14"/>
                <w:szCs w:val="14"/>
                <w:color w:val="auto"/>
              </w:rPr>
              <w:t>Bermuda</w:t>
            </w:r>
          </w:p>
        </w:tc>
      </w:tr>
    </w:tbl>
    <w:p>
      <w:pPr>
        <w:sectPr>
          <w:pgSz w:w="11900" w:h="16838" w:orient="portrait"/>
          <w:cols w:equalWidth="0" w:num="1">
            <w:col w:w="11240"/>
          </w:cols>
          <w:pgMar w:left="320" w:top="940"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6"/>
          <w:szCs w:val="16"/>
          <w:b w:val="1"/>
          <w:bCs w:val="1"/>
          <w:color w:val="333333"/>
        </w:rPr>
        <w:t>EXHIBIT 23.1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consent to the incorporation by reference in the Registration Statements (Form S-3 No. 333- 268507, Form S-3 No. 333-268508 and Form S-3 No. 333-287375) of FTAI Infrastructure Inc. and in the related Prospectus of our reports dated March 16, 2026, with respect to the consolidated financial statements of FTAI Infrastructure Inc. and the effectiveness of internal control over financial reporting of FTAI Infrastructure Inc., included in this Annual Report (Form 10-K) for the year ended December 31, 2025.</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March 16, 2026</w:t>
      </w:r>
    </w:p>
    <w:p>
      <w:pPr>
        <w:sectPr>
          <w:pgSz w:w="11900" w:h="16838" w:orient="portrait"/>
          <w:cols w:equalWidth="0" w:num="1">
            <w:col w:w="11240"/>
          </w:cols>
          <w:pgMar w:left="320" w:top="895"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EXECUTIVE OFFICER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I, Kenneth J. Nicholson, certify that:</w:t>
      </w:r>
    </w:p>
    <w:p>
      <w:pPr>
        <w:spacing w:after="0" w:line="262"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FTAI Infrastructure Inc. (the “registrant”);</w:t>
      </w:r>
    </w:p>
    <w:p>
      <w:pPr>
        <w:spacing w:after="0" w:line="167" w:lineRule="exact"/>
        <w:rPr>
          <w:rFonts w:ascii="Arial" w:cs="Arial" w:eastAsia="Arial" w:hAnsi="Arial"/>
          <w:sz w:val="16"/>
          <w:szCs w:val="16"/>
          <w:color w:val="auto"/>
        </w:rPr>
      </w:pPr>
    </w:p>
    <w:p>
      <w:pPr>
        <w:ind w:right="20" w:firstLine="8"/>
        <w:spacing w:after="0" w:line="286" w:lineRule="auto"/>
        <w:tabs>
          <w:tab w:leader="none" w:pos="373"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6"/>
          <w:szCs w:val="16"/>
          <w:color w:val="auto"/>
        </w:rPr>
      </w:pPr>
    </w:p>
    <w:p>
      <w:pPr>
        <w:ind w:firstLine="8"/>
        <w:spacing w:after="0" w:line="286" w:lineRule="auto"/>
        <w:tabs>
          <w:tab w:leader="none" w:pos="406"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jc w:val="both"/>
        <w:ind w:firstLine="8"/>
        <w:spacing w:after="0" w:line="266" w:lineRule="auto"/>
        <w:tabs>
          <w:tab w:leader="none" w:pos="411"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jc w:val="both"/>
        <w:ind w:firstLine="656"/>
        <w:spacing w:after="0" w:line="266" w:lineRule="auto"/>
        <w:tabs>
          <w:tab w:leader="none" w:pos="1038"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jc w:val="both"/>
        <w:ind w:right="20" w:firstLine="656"/>
        <w:spacing w:after="0" w:line="275" w:lineRule="auto"/>
        <w:tabs>
          <w:tab w:leader="none" w:pos="1167"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firstLine="656"/>
        <w:spacing w:after="0" w:line="286" w:lineRule="auto"/>
        <w:tabs>
          <w:tab w:leader="none" w:pos="1105"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jc w:val="both"/>
        <w:ind w:firstLine="656"/>
        <w:spacing w:after="0" w:line="275" w:lineRule="auto"/>
        <w:tabs>
          <w:tab w:leader="none" w:pos="1049"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firstLine="8"/>
        <w:spacing w:after="0" w:line="286" w:lineRule="auto"/>
        <w:tabs>
          <w:tab w:leader="none" w:pos="3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firstLine="656"/>
        <w:spacing w:after="0" w:line="286" w:lineRule="auto"/>
        <w:tabs>
          <w:tab w:leader="none" w:pos="1031"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right="20" w:firstLine="656"/>
        <w:spacing w:after="0" w:line="286" w:lineRule="auto"/>
        <w:tabs>
          <w:tab w:leader="none" w:pos="1019"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580" w:type="dxa"/>
            <w:vAlign w:val="bottom"/>
          </w:tcPr>
          <w:p>
            <w:pPr>
              <w:spacing w:after="0"/>
              <w:rPr>
                <w:sz w:val="20"/>
                <w:szCs w:val="20"/>
                <w:color w:val="auto"/>
              </w:rPr>
            </w:pPr>
            <w:r>
              <w:rPr>
                <w:rFonts w:ascii="Arial" w:cs="Arial" w:eastAsia="Arial" w:hAnsi="Arial"/>
                <w:sz w:val="16"/>
                <w:szCs w:val="16"/>
                <w:color w:val="auto"/>
              </w:rPr>
              <w:t>March 16, 2026</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Kenneth J. Nicholson</w:t>
            </w:r>
          </w:p>
        </w:tc>
      </w:tr>
      <w:tr>
        <w:trPr>
          <w:trHeight w:val="210"/>
        </w:trPr>
        <w:tc>
          <w:tcPr>
            <w:tcW w:w="5580" w:type="dxa"/>
            <w:vAlign w:val="bottom"/>
          </w:tcPr>
          <w:p>
            <w:pPr>
              <w:spacing w:after="0"/>
              <w:rPr>
                <w:sz w:val="20"/>
                <w:szCs w:val="20"/>
                <w:color w:val="auto"/>
              </w:rPr>
            </w:pPr>
            <w:r>
              <w:rPr>
                <w:rFonts w:ascii="Arial" w:cs="Arial" w:eastAsia="Arial" w:hAnsi="Arial"/>
                <w:sz w:val="16"/>
                <w:szCs w:val="16"/>
                <w:color w:val="auto"/>
              </w:rPr>
              <w:t>(Date)</w:t>
            </w:r>
          </w:p>
        </w:tc>
        <w:tc>
          <w:tcPr>
            <w:tcW w:w="5600" w:type="dxa"/>
            <w:vAlign w:val="bottom"/>
          </w:tcPr>
          <w:p>
            <w:pPr>
              <w:ind w:left="20"/>
              <w:spacing w:after="0"/>
              <w:rPr>
                <w:sz w:val="20"/>
                <w:szCs w:val="20"/>
                <w:color w:val="auto"/>
              </w:rPr>
            </w:pPr>
            <w:r>
              <w:rPr>
                <w:rFonts w:ascii="Arial" w:cs="Arial" w:eastAsia="Arial" w:hAnsi="Arial"/>
                <w:sz w:val="16"/>
                <w:szCs w:val="16"/>
                <w:color w:val="auto"/>
              </w:rPr>
              <w:t>Kenneth J. Nicholson</w:t>
            </w:r>
          </w:p>
        </w:tc>
      </w:tr>
      <w:tr>
        <w:trPr>
          <w:trHeight w:val="215"/>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90"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FINANCIAL OFFICER</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I, Carl R. Fletcher IV, certify that:</w:t>
      </w:r>
    </w:p>
    <w:p>
      <w:pPr>
        <w:spacing w:after="0" w:line="262"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FTAI Infrastructure Inc. (the “registrant”);</w:t>
      </w:r>
    </w:p>
    <w:p>
      <w:pPr>
        <w:spacing w:after="0" w:line="167" w:lineRule="exact"/>
        <w:rPr>
          <w:rFonts w:ascii="Arial" w:cs="Arial" w:eastAsia="Arial" w:hAnsi="Arial"/>
          <w:sz w:val="16"/>
          <w:szCs w:val="16"/>
          <w:color w:val="auto"/>
        </w:rPr>
      </w:pPr>
    </w:p>
    <w:p>
      <w:pPr>
        <w:ind w:right="20" w:firstLine="8"/>
        <w:spacing w:after="0" w:line="286" w:lineRule="auto"/>
        <w:tabs>
          <w:tab w:leader="none" w:pos="373"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6"/>
          <w:szCs w:val="16"/>
          <w:color w:val="auto"/>
        </w:rPr>
      </w:pPr>
    </w:p>
    <w:p>
      <w:pPr>
        <w:ind w:firstLine="8"/>
        <w:spacing w:after="0" w:line="286" w:lineRule="auto"/>
        <w:tabs>
          <w:tab w:leader="none" w:pos="406"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jc w:val="both"/>
        <w:ind w:firstLine="8"/>
        <w:spacing w:after="0" w:line="266" w:lineRule="auto"/>
        <w:tabs>
          <w:tab w:leader="none" w:pos="41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jc w:val="both"/>
        <w:ind w:firstLine="656"/>
        <w:spacing w:after="0" w:line="266" w:lineRule="auto"/>
        <w:tabs>
          <w:tab w:leader="none" w:pos="1038"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jc w:val="both"/>
        <w:ind w:right="20" w:firstLine="656"/>
        <w:spacing w:after="0" w:line="275" w:lineRule="auto"/>
        <w:tabs>
          <w:tab w:leader="none" w:pos="1167"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firstLine="656"/>
        <w:spacing w:after="0" w:line="286" w:lineRule="auto"/>
        <w:tabs>
          <w:tab w:leader="none" w:pos="1105"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jc w:val="both"/>
        <w:ind w:firstLine="656"/>
        <w:spacing w:after="0" w:line="275" w:lineRule="auto"/>
        <w:tabs>
          <w:tab w:leader="none" w:pos="1049" w:val="left"/>
        </w:tabs>
        <w:numPr>
          <w:ilvl w:val="1"/>
          <w:numId w:val="6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firstLine="8"/>
        <w:spacing w:after="0" w:line="286" w:lineRule="auto"/>
        <w:tabs>
          <w:tab w:leader="none" w:pos="36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firstLine="656"/>
        <w:spacing w:after="0" w:line="286" w:lineRule="auto"/>
        <w:tabs>
          <w:tab w:leader="none" w:pos="1031"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right="20" w:firstLine="656"/>
        <w:spacing w:after="0" w:line="286" w:lineRule="auto"/>
        <w:tabs>
          <w:tab w:leader="none" w:pos="1019"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80" w:type="dxa"/>
            <w:vAlign w:val="bottom"/>
          </w:tcPr>
          <w:p>
            <w:pPr>
              <w:spacing w:after="0"/>
              <w:rPr>
                <w:sz w:val="20"/>
                <w:szCs w:val="20"/>
                <w:color w:val="auto"/>
              </w:rPr>
            </w:pPr>
            <w:r>
              <w:rPr>
                <w:rFonts w:ascii="Arial" w:cs="Arial" w:eastAsia="Arial" w:hAnsi="Arial"/>
                <w:sz w:val="16"/>
                <w:szCs w:val="16"/>
                <w:color w:val="auto"/>
              </w:rPr>
              <w:t>March 16, 2026</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Carl R. Fletcher IV</w:t>
            </w:r>
          </w:p>
        </w:tc>
      </w:tr>
      <w:tr>
        <w:trPr>
          <w:trHeight w:val="210"/>
        </w:trPr>
        <w:tc>
          <w:tcPr>
            <w:tcW w:w="5580" w:type="dxa"/>
            <w:vAlign w:val="bottom"/>
          </w:tcPr>
          <w:p>
            <w:pPr>
              <w:spacing w:after="0"/>
              <w:rPr>
                <w:sz w:val="20"/>
                <w:szCs w:val="20"/>
                <w:color w:val="auto"/>
              </w:rPr>
            </w:pPr>
            <w:r>
              <w:rPr>
                <w:rFonts w:ascii="Arial" w:cs="Arial" w:eastAsia="Arial" w:hAnsi="Arial"/>
                <w:sz w:val="16"/>
                <w:szCs w:val="16"/>
                <w:color w:val="auto"/>
              </w:rPr>
              <w:t>(Date)</w:t>
            </w:r>
          </w:p>
        </w:tc>
        <w:tc>
          <w:tcPr>
            <w:tcW w:w="5600" w:type="dxa"/>
            <w:vAlign w:val="bottom"/>
          </w:tcPr>
          <w:p>
            <w:pPr>
              <w:ind w:left="20"/>
              <w:spacing w:after="0"/>
              <w:rPr>
                <w:sz w:val="20"/>
                <w:szCs w:val="20"/>
                <w:color w:val="auto"/>
              </w:rPr>
            </w:pPr>
            <w:r>
              <w:rPr>
                <w:rFonts w:ascii="Arial" w:cs="Arial" w:eastAsia="Arial" w:hAnsi="Arial"/>
                <w:sz w:val="16"/>
                <w:szCs w:val="16"/>
                <w:color w:val="auto"/>
              </w:rPr>
              <w:t>Carl R. Fletcher IV</w:t>
            </w:r>
          </w:p>
        </w:tc>
      </w:tr>
      <w:tr>
        <w:trPr>
          <w:trHeight w:val="215"/>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Chief Financial Officer and Chief Accounting Officer</w:t>
            </w:r>
          </w:p>
        </w:tc>
      </w:tr>
    </w:tbl>
    <w:p>
      <w:pPr>
        <w:sectPr>
          <w:pgSz w:w="11900" w:h="16838" w:orient="portrait"/>
          <w:cols w:equalWidth="0" w:num="1">
            <w:col w:w="11240"/>
          </w:cols>
          <w:pgMar w:left="320" w:top="890"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Annual Report on Form 10-K of FTAI Infrastructure Inc. (the “Company”) for the annual period ended December 31, 2025 as filed with the Securities and Exchange Commission on the date hereof (the “Report”), Kenneth J. Nicholson, as Chief Executive Officer of the Company, hereby certifies, pursuant to 18 U.S.C. Section 1350, as adopted pursuant to Section 906 of the Sarbanes-Oxley Act of 2002, that, to the best of his knowledge:</w:t>
      </w:r>
    </w:p>
    <w:p>
      <w:pPr>
        <w:spacing w:after="0" w:line="151"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Kenneth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49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Kenneth J. Nicholson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 and President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16, 2026</w:t>
      </w:r>
    </w:p>
    <w:p>
      <w:pPr>
        <w:sectPr>
          <w:pgSz w:w="11900" w:h="16838" w:orient="portrait"/>
          <w:cols w:equalWidth="0" w:num="1">
            <w:col w:w="11240"/>
          </w:cols>
          <w:pgMar w:left="320" w:top="890"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Annual Report on Form 10-K of FTAI Infrastructure Inc. (the “Company”) for the annual period ended December 31, 2025 as filed with the Securities and Exchange Commission on the date hereof (the “Report”), Carl R. Fletcher IV, as Chief Financial Officer of the Company, hereby certifies, pursuant to 18 U.S.C. Section 1350, as adopted pursuant to Section 906 of the Sarbanes-Oxley Act of 2002, that, to the best of his knowledge:</w:t>
      </w:r>
    </w:p>
    <w:p>
      <w:pPr>
        <w:spacing w:after="0" w:line="191"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380" w:hanging="372"/>
        <w:spacing w:after="0"/>
        <w:tabs>
          <w:tab w:leader="none" w:pos="3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Carl R. Fletcher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490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Carl R. Fletcher IV</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 and Chief Accounting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16,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1."/>
      <w:numFmt w:val="decimal"/>
      <w:start w:val="3"/>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lowerRoman"/>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1"/>
      <w:numFmt w:val="decimal"/>
      <w:start w:val="101"/>
    </w:lvl>
  </w:abstractNum>
  <w:abstractNum w:abstractNumId="61">
    <w:nsid w:val="4AD084E9"/>
    <w:multiLevelType w:val="hybridMultilevel"/>
    <w:lvl w:ilvl="0">
      <w:lvlJc w:val="left"/>
      <w:lvlText w:val="†"/>
      <w:numFmt w:val="bullet"/>
      <w:start w:val="1"/>
    </w:lvl>
    <w:lvl w:ilvl="1">
      <w:lvlJc w:val="left"/>
      <w:lvlText w:val="%2"/>
      <w:numFmt w:val="decimal"/>
      <w:start w:val="104"/>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4" Type="http://schemas.openxmlformats.org/officeDocument/2006/relationships/image" Target="media/image154.png"/><Relationship Id="rId166" Type="http://schemas.openxmlformats.org/officeDocument/2006/relationships/image" Target="media/image155.png"/><Relationship Id="rId169" Type="http://schemas.openxmlformats.org/officeDocument/2006/relationships/image" Target="media/image156.png"/><Relationship Id="rId172" Type="http://schemas.openxmlformats.org/officeDocument/2006/relationships/image" Target="media/image157.png"/><Relationship Id="rId174" Type="http://schemas.openxmlformats.org/officeDocument/2006/relationships/image" Target="media/image158.png"/><Relationship Id="rId176"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5" Type="http://schemas.openxmlformats.org/officeDocument/2006/relationships/image" Target="media/image162.png"/><Relationship Id="rId188" Type="http://schemas.openxmlformats.org/officeDocument/2006/relationships/image" Target="media/image163.png"/><Relationship Id="rId191"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8" Type="http://schemas.openxmlformats.org/officeDocument/2006/relationships/image" Target="media/image167.png"/><Relationship Id="rId201" Type="http://schemas.openxmlformats.org/officeDocument/2006/relationships/image" Target="media/image168.png"/><Relationship Id="rId204" Type="http://schemas.openxmlformats.org/officeDocument/2006/relationships/image" Target="media/image169.png"/><Relationship Id="rId207" Type="http://schemas.openxmlformats.org/officeDocument/2006/relationships/image" Target="media/image170.png"/><Relationship Id="rId210" Type="http://schemas.openxmlformats.org/officeDocument/2006/relationships/image" Target="media/image171.png"/><Relationship Id="rId213"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161" Type="http://schemas.openxmlformats.org/officeDocument/2006/relationships/hyperlink" Target="https://www.sec.gov/Archives/edgar/data/0001899883/000114036122027683/brhc10040169_ex2-1.htm" TargetMode="External"/><Relationship Id="rId162" Type="http://schemas.openxmlformats.org/officeDocument/2006/relationships/hyperlink" Target="https://www.sec.gov/Archives/edgar/data/1899883/000114036125006134/ef20044412_ex2-1.htm" TargetMode="External"/><Relationship Id="rId163" Type="http://schemas.openxmlformats.org/officeDocument/2006/relationships/hyperlink" Target="https://www.sec.gov/Archives/edgar/data/1899883/000114036125029042/ef20053302_ex10-1.htm" TargetMode="External"/><Relationship Id="rId165" Type="http://schemas.openxmlformats.org/officeDocument/2006/relationships/hyperlink" Target="https://www.sec.gov/Archives/edgar/data/0001899883/000114036122027683/brhc10040169_ex3-1.htm" TargetMode="External"/><Relationship Id="rId167" Type="http://schemas.openxmlformats.org/officeDocument/2006/relationships/hyperlink" Target="https://www.sec.gov/Archives/edgar/data/0001899883/000114036122027683/brhc10040169_ex3-2.htm" TargetMode="External"/><Relationship Id="rId168" Type="http://schemas.openxmlformats.org/officeDocument/2006/relationships/hyperlink" Target="https://www.sec.gov/Archives/edgar/data/0001899883/000114036122027683/brhc10040169_ex3-3.htm" TargetMode="External"/><Relationship Id="rId170" Type="http://schemas.openxmlformats.org/officeDocument/2006/relationships/hyperlink" Target="https://www.sec.gov/Archives/edgar/data/1899883/000114036125006134/ef20044412_ex3-1.htm" TargetMode="External"/><Relationship Id="rId171" Type="http://schemas.openxmlformats.org/officeDocument/2006/relationships/hyperlink" Target="https://www.sec.gov/Archives/edgar/data/1899883/000114036125006134/ef20044412_ex3-2.htm" TargetMode="External"/><Relationship Id="rId173" Type="http://schemas.openxmlformats.org/officeDocument/2006/relationships/hyperlink" Target="https://www.sec.gov/Archives/edgar/data/1899883/000114036125005888/ef20044242_ex4-1.htm" TargetMode="External"/><Relationship Id="rId175" Type="http://schemas.openxmlformats.org/officeDocument/2006/relationships/hyperlink" Target="https://www.sec.gov/Archives/edgar/data/0001899883/000114036122027683/brhc10040169_ex10-1.htm" TargetMode="External"/><Relationship Id="rId177" Type="http://schemas.openxmlformats.org/officeDocument/2006/relationships/hyperlink" Target="https://www.sec.gov/Archives/edgar/data/1899883/000114036122016706/ny20001700x6_ex10-2.htm" TargetMode="External"/><Relationship Id="rId178" Type="http://schemas.openxmlformats.org/officeDocument/2006/relationships/hyperlink" Target="https://www.sec.gov/Archives/edgar/data/0001899883/000114036122027683/brhc10040169_ex10-4.htm" TargetMode="External"/><Relationship Id="rId179" Type="http://schemas.openxmlformats.org/officeDocument/2006/relationships/hyperlink" Target="https://www.sec.gov/Archives/edgar/data/1899883/000114036122016706/ny20001700x6_ex10-4.htm" TargetMode="External"/><Relationship Id="rId180" Type="http://schemas.openxmlformats.org/officeDocument/2006/relationships/hyperlink" Target="https://www.sec.gov/Archives/edgar/data/1899883/000114036122016706/ny20001700x6_ex10-5.htm" TargetMode="External"/><Relationship Id="rId183" Type="http://schemas.openxmlformats.org/officeDocument/2006/relationships/hyperlink" Target="https://www.sec.gov/Archives/edgar/data/0001899883/000114036122027683/brhc10040169_ex10-2.htm" TargetMode="External"/><Relationship Id="rId184" Type="http://schemas.openxmlformats.org/officeDocument/2006/relationships/hyperlink" Target="https://www.sec.gov/Archives/edgar/data/1590364/000159036419000004/epccontract-exhibit1017.htm" TargetMode="External"/><Relationship Id="rId186" Type="http://schemas.openxmlformats.org/officeDocument/2006/relationships/hyperlink" Target="https://www.sec.gov/Archives/edgar/data/1590364/000159036419000004/geequipmentsupplyagreement.htm" TargetMode="External"/><Relationship Id="rId187" Type="http://schemas.openxmlformats.org/officeDocument/2006/relationships/hyperlink" Target="https://www.sec.gov/Archives/edgar/data/1899883/000114036124030752/ef20031396_ex10-1.htm" TargetMode="External"/><Relationship Id="rId189" Type="http://schemas.openxmlformats.org/officeDocument/2006/relationships/hyperlink" Target="https://www.sec.gov/Archives/edgar/data/1590364/000159036420000005/jeffersondeedoftrust.htm" TargetMode="External"/><Relationship Id="rId190" Type="http://schemas.openxmlformats.org/officeDocument/2006/relationships/hyperlink" Target="https://www.sec.gov/Archives/edgar/data/1590364/000159036420000005/jeffersonfacilitieslea.htm" TargetMode="External"/><Relationship Id="rId192" Type="http://schemas.openxmlformats.org/officeDocument/2006/relationships/hyperlink" Target="https://www.sec.gov/Archives/edgar/data/1899883/000114036124030752/ef20031396_ex10-2.htm" TargetMode="External"/><Relationship Id="rId193" Type="http://schemas.openxmlformats.org/officeDocument/2006/relationships/hyperlink" Target="https://www.sec.gov/Archives/edgar/data/1899883/000114036124030752/ef20031396_ex10-3.htm" TargetMode="External"/><Relationship Id="rId196" Type="http://schemas.openxmlformats.org/officeDocument/2006/relationships/hyperlink" Target="https://www.sec.gov/Archives/edgar/data/1590364/000114036121020135/brhc10025553_ex10-1.htm" TargetMode="External"/><Relationship Id="rId197" Type="http://schemas.openxmlformats.org/officeDocument/2006/relationships/hyperlink" Target="https://www.sec.gov/Archives/edgar/data/1590364/000159036421000006/railwayservicesagreement.htm" TargetMode="External"/><Relationship Id="rId199" Type="http://schemas.openxmlformats.org/officeDocument/2006/relationships/hyperlink" Target="https://www.sec.gov/Archives/edgar/data/1899883/000114036122024785/ny20001700x10_ex10-17.htm" TargetMode="External"/><Relationship Id="rId200" Type="http://schemas.openxmlformats.org/officeDocument/2006/relationships/hyperlink" Target="https://www.sec.gov/Archives/edgar/data/0001899883/000114036122027683/brhc10040169_ex10-6.htm" TargetMode="External"/><Relationship Id="rId202" Type="http://schemas.openxmlformats.org/officeDocument/2006/relationships/hyperlink" Target="https://www.sec.gov/Archives/edgar/data/0001899883/000114036122027683/brhc10040169_ex10-5.htm" TargetMode="External"/><Relationship Id="rId203" Type="http://schemas.openxmlformats.org/officeDocument/2006/relationships/hyperlink" Target="https://www.sec.gov/Archives/edgar/data/0001899883/000114036122027683/brhc10040169_ex10-3.htm" TargetMode="External"/><Relationship Id="rId205" Type="http://schemas.openxmlformats.org/officeDocument/2006/relationships/hyperlink" Target="https://www.sec.gov/Archives/edgar/data/0001899883/000114036122027683/brhc10040169_ex10-7.htm" TargetMode="External"/><Relationship Id="rId206" Type="http://schemas.openxmlformats.org/officeDocument/2006/relationships/hyperlink" Target="https://www.sec.gov/Archives/edgar/data/1899883/000114036125006134/ef20044412_ex10-1.htm" TargetMode="External"/><Relationship Id="rId208" Type="http://schemas.openxmlformats.org/officeDocument/2006/relationships/hyperlink" Target="https://www.sec.gov/Archives/edgar/data/1899883/000114036125006134/ef20044412_ex10-2.htm" TargetMode="External"/><Relationship Id="rId209" Type="http://schemas.openxmlformats.org/officeDocument/2006/relationships/hyperlink" Target="https://www.sec.gov/Archives/edgar/data/1899883/000114036125005888/ef20044242_ex10-1.htm" TargetMode="External"/><Relationship Id="rId211" Type="http://schemas.openxmlformats.org/officeDocument/2006/relationships/hyperlink" Target="https://www.sec.gov/Archives/edgar/data/1899883/000114036125021294/ef20050005_ex10-1.htm" TargetMode="External"/><Relationship Id="rId212" Type="http://schemas.openxmlformats.org/officeDocument/2006/relationships/hyperlink" Target="https://www.sec.gov/Archives/edgar/data/1899883/000114036125021294/ef20050005_ex10-2.htm" TargetMode="External"/><Relationship Id="rId214" Type="http://schemas.openxmlformats.org/officeDocument/2006/relationships/hyperlink" Target="https://www.sec.gov/Archives/edgar/data/1899883/000114036125021294/ef20049988_ex10-3.htm" TargetMode="External"/><Relationship Id="rId215" Type="http://schemas.openxmlformats.org/officeDocument/2006/relationships/hyperlink" Target="https://www.sec.gov/Archives/edgar/data/1899883/000114036125021294/ef20050005_ex10-4.htm" TargetMode="External"/><Relationship Id="rId216" Type="http://schemas.openxmlformats.org/officeDocument/2006/relationships/hyperlink" Target="https://www.sec.gov/Archives/edgar/data/1899883/000114036125032534/ef20054420_ex10-1.htm" TargetMode="External"/><Relationship Id="rId217" Type="http://schemas.openxmlformats.org/officeDocument/2006/relationships/hyperlink" Target="https://www.sec.gov/Archives/edgar/data/1899883/000114036125032534/ef20054420_ex10-2.htm" TargetMode="External"/><Relationship Id="rId218" Type="http://schemas.openxmlformats.org/officeDocument/2006/relationships/hyperlink" Target="https://www.sec.gov/Archives/edgar/data/1899883/000114036125032534/ef20054420_ex10-3.htm" TargetMode="External"/><Relationship Id="rId221" Type="http://schemas.openxmlformats.org/officeDocument/2006/relationships/hyperlink" Target="https://www.sec.gov/Archives/edgar/data/1899883/000189988325000007/fip12312024exhibit191.htm" TargetMode="External"/><Relationship Id="rId226" Type="http://schemas.openxmlformats.org/officeDocument/2006/relationships/hyperlink" Target="https://www.sec.gov/Archives/edgar/data/1899883/000189988324000012/fip12312023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2026-03-16T08:34:45Z</dcterms:created>
  <dcterms:modified xsi:type="dcterms:W3CDTF">2026-03-16T08:34:45Z</dcterms:modified>
</cp:coreProperties>
</file>