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 SECURITIES AND EXCHANGE COMMISSION</w:t>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tbl>
      <w:tblPr>
        <w:tblW w:w="9657" w:type="dxa"/>
        <w:jc w:val="center"/>
        <w:tblInd w:w="0" w:type="dxa"/>
        <w:tblLayout w:type="fixed"/>
        <w:tblCellMar>
          <w:top w:w="28" w:type="dxa"/>
          <w:left w:w="28" w:type="dxa"/>
          <w:bottom w:w="28" w:type="dxa"/>
          <w:right w:w="28" w:type="dxa"/>
        </w:tblCellMar>
      </w:tblPr>
      <w:tblGrid>
        <w:gridCol w:w="124"/>
        <w:gridCol w:w="109"/>
        <w:gridCol w:w="109"/>
        <w:gridCol w:w="2726"/>
        <w:gridCol w:w="2726"/>
        <w:gridCol w:w="3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QUARTERLY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quarterly period ended June 30, 2026</w:t>
      </w:r>
    </w:p>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OR</w:t>
      </w:r>
    </w:p>
    <w:tbl>
      <w:tblPr>
        <w:tblW w:w="9626" w:type="dxa"/>
        <w:jc w:val="center"/>
        <w:tblInd w:w="0" w:type="dxa"/>
        <w:tblLayout w:type="fixed"/>
        <w:tblCellMar>
          <w:top w:w="28" w:type="dxa"/>
          <w:left w:w="28" w:type="dxa"/>
          <w:bottom w:w="28" w:type="dxa"/>
          <w:right w:w="28" w:type="dxa"/>
        </w:tblCellMar>
      </w:tblPr>
      <w:tblGrid>
        <w:gridCol w:w="124"/>
        <w:gridCol w:w="109"/>
        <w:gridCol w:w="109"/>
        <w:gridCol w:w="2715"/>
        <w:gridCol w:w="2715"/>
        <w:gridCol w:w="3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____ to ____</w:t>
      </w:r>
    </w:p>
    <w:p>
      <w:pPr>
        <w:pStyle w:val="TextBody"/>
        <w:bidi w:val="0"/>
        <w:spacing w:lineRule="auto" w:line="288" w:before="60" w:after="283"/>
        <w:jc w:val="center"/>
        <w:rPr/>
      </w:pPr>
      <w:r>
        <w:rPr>
          <w:rFonts w:ascii="Arial;sans-serif" w:hAnsi="Arial;sans-serif"/>
          <w:b w:val="false"/>
          <w:color w:val="000000"/>
          <w:sz w:val="18"/>
        </w:rPr>
        <w:t xml:space="preserve">Commission file number </w:t>
      </w:r>
      <w:r>
        <w:rPr>
          <w:rFonts w:ascii="Arial;sans-serif" w:hAnsi="Arial;sans-serif"/>
          <w:b/>
          <w:color w:val="000000"/>
          <w:sz w:val="18"/>
        </w:rPr>
        <w:t>001-41370</w:t>
      </w:r>
    </w:p>
    <w:p>
      <w:pPr>
        <w:pStyle w:val="TextBody"/>
        <w:bidi w:val="0"/>
        <w:spacing w:before="0" w:after="0"/>
        <w:jc w:val="center"/>
        <w:rPr/>
      </w:pPr>
      <w:r>
        <w:rPr/>
      </w:r>
    </w:p>
    <w:p>
      <w:pPr>
        <w:pStyle w:val="TextBody"/>
        <w:bidi w:val="0"/>
        <w:spacing w:before="0" w:after="0"/>
        <w:jc w:val="center"/>
        <w:rPr/>
      </w:pPr>
      <w:r>
        <w:rPr/>
        <w:drawing>
          <wp:inline distT="0" distB="0" distL="0" distR="0">
            <wp:extent cx="23812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62865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FTAI INFRASTRUCTURE INC.</w:t>
      </w:r>
    </w:p>
    <w:p>
      <w:pPr>
        <w:pStyle w:val="TextBody"/>
        <w:bidi w:val="0"/>
        <w:spacing w:lineRule="auto" w:line="288" w:before="0" w:after="0"/>
        <w:jc w:val="center"/>
        <w:rPr/>
      </w:pPr>
      <w:r>
        <w:rPr>
          <w:rFonts w:ascii="Arial;sans-serif" w:hAnsi="Arial;sans-serif"/>
          <w:b w:val="false"/>
          <w:color w:val="000000"/>
          <w:sz w:val="18"/>
        </w:rPr>
        <w:t>(Exact name of registrant as specified in its charter</w:t>
      </w:r>
      <w:r>
        <w:rPr>
          <w:rFonts w:ascii="Arial;sans-serif" w:hAnsi="Arial;sans-serif"/>
          <w:b w:val="false"/>
          <w:color w:val="000000"/>
          <w:sz w:val="20"/>
        </w:rPr>
        <w:t>)</w:t>
      </w:r>
    </w:p>
    <w:tbl>
      <w:tblPr>
        <w:tblW w:w="10055" w:type="dxa"/>
        <w:jc w:val="left"/>
        <w:tblInd w:w="0" w:type="dxa"/>
        <w:tblLayout w:type="fixed"/>
        <w:tblCellMar>
          <w:top w:w="28" w:type="dxa"/>
          <w:left w:w="28" w:type="dxa"/>
          <w:bottom w:w="28" w:type="dxa"/>
          <w:right w:w="28" w:type="dxa"/>
        </w:tblCellMar>
      </w:tblPr>
      <w:tblGrid>
        <w:gridCol w:w="1305"/>
        <w:gridCol w:w="1147"/>
        <w:gridCol w:w="1147"/>
        <w:gridCol w:w="530"/>
        <w:gridCol w:w="530"/>
        <w:gridCol w:w="530"/>
        <w:gridCol w:w="530"/>
        <w:gridCol w:w="530"/>
        <w:gridCol w:w="546"/>
        <w:gridCol w:w="109"/>
        <w:gridCol w:w="109"/>
        <w:gridCol w:w="109"/>
        <w:gridCol w:w="309"/>
        <w:gridCol w:w="309"/>
        <w:gridCol w:w="309"/>
        <w:gridCol w:w="309"/>
        <w:gridCol w:w="309"/>
        <w:gridCol w:w="309"/>
        <w:gridCol w:w="309"/>
        <w:gridCol w:w="309"/>
        <w:gridCol w:w="461"/>
      </w:tblGrid>
      <w:tr>
        <w:trPr/>
        <w:tc>
          <w:tcPr>
            <w:tcW w:w="130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67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87-4407005</w:t>
            </w:r>
          </w:p>
        </w:tc>
      </w:tr>
      <w:tr>
        <w:trPr/>
        <w:tc>
          <w:tcPr>
            <w:tcW w:w="67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1345 Avenue of the Americas, 45th Floor</w:t>
            </w:r>
          </w:p>
        </w:tc>
        <w:tc>
          <w:tcPr>
            <w:tcW w:w="15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NY</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10105</w:t>
            </w:r>
          </w:p>
        </w:tc>
      </w:tr>
      <w:tr>
        <w:trPr/>
        <w:tc>
          <w:tcPr>
            <w:tcW w:w="804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w:t>
      </w:r>
      <w:r>
        <w:rPr>
          <w:rFonts w:ascii="Arial;sans-serif" w:hAnsi="Arial;sans-serif"/>
          <w:b/>
          <w:color w:val="000000"/>
          <w:sz w:val="18"/>
        </w:rPr>
        <w:t xml:space="preserve">(212) 798-6100 </w:t>
      </w:r>
    </w:p>
    <w:p>
      <w:pPr>
        <w:pStyle w:val="TextBody"/>
        <w:bidi w:val="0"/>
        <w:spacing w:lineRule="auto" w:line="288" w:before="60" w:after="283"/>
        <w:jc w:val="center"/>
        <w:rPr/>
      </w:pPr>
      <w:r>
        <w:rPr>
          <w:rFonts w:ascii="Arial;sans-serif" w:hAnsi="Arial;sans-serif"/>
          <w:b w:val="false"/>
          <w:color w:val="000000"/>
          <w:sz w:val="18"/>
        </w:rPr>
        <w:t xml:space="preserve">(Former name, former address and former fiscal year, if changed since last report) </w:t>
      </w:r>
      <w:r>
        <w:rPr>
          <w:rFonts w:ascii="Arial;sans-serif" w:hAnsi="Arial;sans-serif"/>
          <w:b/>
          <w:color w:val="000000"/>
          <w:sz w:val="18"/>
        </w:rPr>
        <w:t>N/A</w:t>
      </w:r>
    </w:p>
    <w:tbl>
      <w:tblPr>
        <w:tblW w:w="10205" w:type="dxa"/>
        <w:jc w:val="center"/>
        <w:tblInd w:w="0" w:type="dxa"/>
        <w:tblLayout w:type="fixed"/>
        <w:tblCellMar>
          <w:top w:w="28" w:type="dxa"/>
          <w:left w:w="28" w:type="dxa"/>
          <w:bottom w:w="28" w:type="dxa"/>
          <w:right w:w="28" w:type="dxa"/>
        </w:tblCellMar>
      </w:tblPr>
      <w:tblGrid>
        <w:gridCol w:w="1287"/>
        <w:gridCol w:w="1129"/>
        <w:gridCol w:w="1128"/>
        <w:gridCol w:w="306"/>
        <w:gridCol w:w="306"/>
        <w:gridCol w:w="306"/>
        <w:gridCol w:w="479"/>
        <w:gridCol w:w="479"/>
        <w:gridCol w:w="478"/>
        <w:gridCol w:w="306"/>
        <w:gridCol w:w="306"/>
        <w:gridCol w:w="306"/>
        <w:gridCol w:w="990"/>
        <w:gridCol w:w="990"/>
        <w:gridCol w:w="1409"/>
      </w:tblGrid>
      <w:tr>
        <w:trPr/>
        <w:tc>
          <w:tcPr>
            <w:tcW w:w="128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3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exchange on which registered:</w:t>
            </w:r>
          </w:p>
        </w:tc>
      </w:tr>
      <w:tr>
        <w:trPr/>
        <w:tc>
          <w:tcPr>
            <w:tcW w:w="3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FIP</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120" w:after="283"/>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Arial;sans-serif" w:hAnsi="Arial;sans-serif"/>
          <w:b w:val="false"/>
          <w:color w:val="000000"/>
          <w:sz w:val="18"/>
        </w:rPr>
        <w:t>No</w:t>
      </w:r>
      <w:r>
        <w:rPr>
          <w:color w:val="000000"/>
        </w:rPr>
        <w:t xml:space="preserve"> ☐  </w:t>
      </w:r>
    </w:p>
    <w:p>
      <w:pPr>
        <w:pStyle w:val="TextBody"/>
        <w:bidi w:val="0"/>
        <w:spacing w:lineRule="auto" w:line="288" w:before="120" w:after="283"/>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8"/>
        </w:rPr>
        <w:t>No</w:t>
      </w:r>
      <w:r>
        <w:rPr>
          <w:color w:val="000000"/>
        </w:rPr>
        <w:t xml:space="preserve"> ☐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12" w:type="dxa"/>
        <w:jc w:val="left"/>
        <w:tblInd w:w="0" w:type="dxa"/>
        <w:tblLayout w:type="fixed"/>
        <w:tblCellMar>
          <w:top w:w="28" w:type="dxa"/>
          <w:left w:w="28" w:type="dxa"/>
          <w:bottom w:w="28" w:type="dxa"/>
          <w:right w:w="28" w:type="dxa"/>
        </w:tblCellMar>
      </w:tblPr>
      <w:tblGrid>
        <w:gridCol w:w="124"/>
        <w:gridCol w:w="109"/>
        <w:gridCol w:w="109"/>
        <w:gridCol w:w="644"/>
        <w:gridCol w:w="644"/>
        <w:gridCol w:w="646"/>
        <w:gridCol w:w="109"/>
        <w:gridCol w:w="109"/>
        <w:gridCol w:w="109"/>
        <w:gridCol w:w="769"/>
        <w:gridCol w:w="769"/>
        <w:gridCol w:w="7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60"/>
        <w:jc w:val="both"/>
        <w:rPr/>
      </w:pPr>
      <w:r>
        <w:rPr>
          <w:rFonts w:ascii="Arial;sans-serif" w:hAnsi="Arial;sans-serif"/>
          <w:b w:val="false"/>
          <w:color w:val="000000"/>
          <w:sz w:val="18"/>
        </w:rPr>
        <w:t>Indicate by check mark whether the registrant is a shell company (as defined in Rule 12b-2 of the Exchange Act). Yes</w:t>
      </w:r>
      <w:r>
        <w:rPr>
          <w:color w:val="000000"/>
        </w:rPr>
        <w:t xml:space="preserve"> ☐ </w:t>
      </w:r>
      <w:r>
        <w:rPr>
          <w:rFonts w:ascii="Arial;sans-serif" w:hAnsi="Arial;sans-serif"/>
          <w:b w:val="false"/>
          <w:color w:val="000000"/>
          <w:sz w:val="18"/>
        </w:rPr>
        <w:t>No</w:t>
      </w:r>
      <w:r>
        <w:rPr>
          <w:color w:val="000000"/>
        </w:rPr>
        <w:t xml:space="preserve"> ☑ </w:t>
      </w:r>
    </w:p>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As of August 4, 2026, the number of outstanding shares of the registrant’s common stock was 118,181,737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497F"/>
          <w:sz w:val="20"/>
        </w:rPr>
      </w:pPr>
      <w:r>
        <w:rPr>
          <w:rFonts w:ascii="Arial;sans-serif" w:hAnsi="Arial;sans-serif"/>
          <w:b/>
          <w:color w:val="00497F"/>
          <w:sz w:val="20"/>
        </w:rPr>
        <w:t>FORWARD-LOOKING STATEMENTS AND RISK FACTORS SUMMARY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ability to successfully operate as a standalone public company;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changes in economic conditions generally and specifically in our industry sectors, and other risks relating to the global economy, including, but not limited to, U.S. federal government shutdowns, the Russia-Ukraine conflict, the conflicts in the Middle East, public health crises, changing trade policies and tariffs, including related uncertainty or the imposition of modified or additional tariffs, and any related responses or actions by businesses and governments;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reductions in cash flows received from our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ability to take advantage of acquisition opportunities at favorable prices;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 lack of liquidity surrounding our assets, which could impede our ability to vary our portfolio in an appropriate manner;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relative spreads between the yield on the assets we acquire and the cost of financing;</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adverse changes in the financing markets we access affecting our ability to finance our acquisitions;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customer defaults on their obligations;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ability to renew existing contracts and enter into new contracts with existing or potential customers;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availability and cost of capital, including for future acquisitions, to refinance our debt and to fund our operations;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concentration of a particular type of asset or in a particular sector;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competition within the rail, energy and intermodal transport sectors;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competitive market for acquisition opportunities;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risks related to operating through joint ventures, partnerships, consortium arrangements or other collaborations with third parties;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ability to successfully integrate acquired businesses, including The Wheeling Corporation (“Wheeling”) with Transtar and AP Shale Logistics ManagementCo LLC, doing business as Tidewater Logistics;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risks related to the proposed sale of Long Ridge Energy &amp; Power LLC, including (i) our inability to complete the proposed transaction on anticipated terms and timing, or at all, including obtaining regulatory approvals and other conditions to the completion of the proposed transaction; (ii) events, changes or other circumstances could occur that could give rise to the termination of the proposed transaction; (iii) the risks related to Buyer’s (as defined below) financing of the proposed transaction; (iv) potential litigation or regulatory actions relating to the proposed transaction; and (v) potential adverse business uncertainty resulting from the announcement, pendency or completion of the proposed transaction, including restrictions during the pendency of the proposed transaction that may impact our ability to pursue certain business opportunities or strategic transactions;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obsolescence of our assets or our ability to sell our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exposure to uninsurable losses and force majeure events;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infrastructure operations and maintenance may require substantial capital expenditures;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legislative/regulatory environment and exposure to increased economic regulation;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exposure to the oil and gas industry’s volatile oil and gas prices;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ability to maintain our exemption from registration under the Investment Company Act of 1940 and the fact that maintaining such exemption imposes limits on our operations;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ability to successfully utilize leverage in connection with our investments;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foreign currency risk and risk management activities;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effectiveness of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32740"/>
                <wp:effectExtent l="0" t="0" r="0" b="0"/>
                <wp:wrapNone/>
                <wp:docPr id="3" name="Frame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exposure to environmental risks, including natural disasters, increasing environmental legislation and the broader impacts of climate change;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changes in interest rates and/or credit spreads, as well as the success of any hedging strategy we may undertake in relation to such changes;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actions taken by national, state, or provincial governments, including nationalization, or the imposition of new taxes, could materially impact the financial performance or value of our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dependence on FIG LLC (the “Manager”) and its professionals and actual, potential or perceived conflicts of interest in our relationship with our Manager;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effects of the acquisition of Softbank Group Corp.’s equity in Fortress Investment Group LLC (“Fortress”) by certain members of management of Fortress and Mubadala Capital, a wholly owned asset management subsidiary of Mubadala Investment Company (“Mubadala”);</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volatility in the market price of our stock;</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inability to pay dividends to our stockholders in the future;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other risks described in the “Risk Factors” section of this report.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32740"/>
                <wp:effectExtent l="0" t="0" r="0" b="0"/>
                <wp:wrapNone/>
                <wp:docPr id="4" name="Frame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Arial;sans-serif" w:hAnsi="Arial;sans-serif"/>
          <w:b/>
          <w:color w:val="00497F"/>
          <w:sz w:val="20"/>
          <w:shd w:fill="FFFFFF" w:val="clear"/>
        </w:rPr>
      </w:pPr>
      <w:r>
        <w:rPr>
          <w:rFonts w:ascii="Arial;sans-serif" w:hAnsi="Arial;sans-serif"/>
          <w:b/>
          <w:color w:val="00497F"/>
          <w:sz w:val="20"/>
          <w:shd w:fill="FFFFFF" w:val="clear"/>
        </w:rPr>
        <w:t>FTAI INFRASTRUCTURE INC.</w:t>
      </w:r>
    </w:p>
    <w:p>
      <w:pPr>
        <w:pStyle w:val="TextBody"/>
        <w:bidi w:val="0"/>
        <w:spacing w:lineRule="auto" w:line="288" w:before="100" w:after="283"/>
        <w:jc w:val="center"/>
        <w:rPr>
          <w:rFonts w:ascii="Arial;sans-serif" w:hAnsi="Arial;sans-serif"/>
          <w:b/>
          <w:color w:val="00497F"/>
          <w:sz w:val="20"/>
          <w:shd w:fill="FFFFFF" w:val="clear"/>
        </w:rPr>
      </w:pPr>
      <w:r>
        <w:rPr>
          <w:rFonts w:ascii="Arial;sans-serif" w:hAnsi="Arial;sans-serif"/>
          <w:b/>
          <w:color w:val="00497F"/>
          <w:sz w:val="20"/>
          <w:shd w:fill="FFFFFF" w:val="clear"/>
        </w:rPr>
        <w:t>INDEX TO 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926" w:type="dxa"/>
        <w:jc w:val="center"/>
        <w:tblInd w:w="0" w:type="dxa"/>
        <w:tblLayout w:type="fixed"/>
        <w:tblCellMar>
          <w:top w:w="28" w:type="dxa"/>
          <w:left w:w="28" w:type="dxa"/>
          <w:bottom w:w="28" w:type="dxa"/>
          <w:right w:w="28" w:type="dxa"/>
        </w:tblCellMar>
      </w:tblPr>
      <w:tblGrid>
        <w:gridCol w:w="275"/>
        <w:gridCol w:w="243"/>
        <w:gridCol w:w="246"/>
        <w:gridCol w:w="2929"/>
        <w:gridCol w:w="2929"/>
        <w:gridCol w:w="2932"/>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EBF"/>
                <w:sz w:val="16"/>
              </w:rPr>
            </w:pPr>
            <w:r>
              <w:rPr>
                <w:rFonts w:ascii="Arial;sans-serif" w:hAnsi="Arial;sans-serif"/>
                <w:b/>
                <w:color w:val="006EBF"/>
                <w:sz w:val="16"/>
              </w:rPr>
              <w:t>PART I - FINANCIAL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1.</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19">
              <w:r>
                <w:rPr>
                  <w:rStyle w:val="InternetLink"/>
                  <w:rFonts w:ascii="Arial;sans-serif" w:hAnsi="Arial;sans-serif"/>
                  <w:b w:val="false"/>
                  <w:strike w:val="false"/>
                  <w:dstrike w:val="false"/>
                  <w:color w:val="0000FF"/>
                  <w:sz w:val="16"/>
                  <w:u w:val="none"/>
                  <w:effect w:val="none"/>
                </w:rPr>
                <w:t>Unaudited Consolidated Financial Statements of FTAI Infrastructure Inc.:</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19">
              <w:r>
                <w:rPr>
                  <w:rStyle w:val="InternetLink"/>
                  <w:rFonts w:ascii="Arial;sans-serif" w:hAnsi="Arial;sans-serif"/>
                  <w:b w:val="false"/>
                  <w:strike w:val="false"/>
                  <w:dstrike w:val="false"/>
                  <w:color w:val="0000FF"/>
                  <w:sz w:val="16"/>
                  <w:u w:val="none"/>
                  <w:effect w:val="none"/>
                </w:rPr>
                <w:t>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19">
              <w:r>
                <w:rPr>
                  <w:rStyle w:val="InternetLink"/>
                  <w:rFonts w:ascii="Arial;sans-serif" w:hAnsi="Arial;sans-serif"/>
                  <w:b w:val="false"/>
                  <w:strike w:val="false"/>
                  <w:dstrike w:val="false"/>
                  <w:color w:val="0000FF"/>
                  <w:sz w:val="16"/>
                  <w:u w:val="none"/>
                  <w:effect w:val="none"/>
                </w:rPr>
                <w:t>Consolidated Balance Sheets as of June 30, 2026 and December 31,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19">
              <w:r>
                <w:rPr>
                  <w:rStyle w:val="InternetLink"/>
                  <w:rFonts w:ascii="Arial;sans-serif" w:hAnsi="Arial;sans-serif"/>
                  <w:b w:val="false"/>
                  <w:strike w:val="false"/>
                  <w:dstrike w:val="false"/>
                  <w:color w:val="0000FF"/>
                  <w:sz w:val="16"/>
                  <w:u w:val="none"/>
                  <w:effect w:val="none"/>
                </w:rPr>
                <w:t>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22">
              <w:r>
                <w:rPr>
                  <w:rStyle w:val="InternetLink"/>
                  <w:rFonts w:ascii="Arial;sans-serif" w:hAnsi="Arial;sans-serif"/>
                  <w:b w:val="false"/>
                  <w:strike w:val="false"/>
                  <w:dstrike w:val="false"/>
                  <w:color w:val="0000FF"/>
                  <w:sz w:val="16"/>
                  <w:u w:val="none"/>
                  <w:effect w:val="none"/>
                </w:rPr>
                <w:t>Consolidated Statements of Operations for the three and six months ended June 30, 2026 and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22">
              <w:r>
                <w:rPr>
                  <w:rStyle w:val="InternetLink"/>
                  <w:rFonts w:ascii="Arial;sans-serif" w:hAnsi="Arial;sans-serif"/>
                  <w:b w:val="false"/>
                  <w:strike w:val="false"/>
                  <w:dstrike w:val="false"/>
                  <w:color w:val="0000FF"/>
                  <w:sz w:val="16"/>
                  <w:u w:val="none"/>
                  <w:effect w:val="none"/>
                </w:rPr>
                <w:t>7</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8357f59dd7cf4437bb2172eb695c1449_25">
              <w:r>
                <w:rPr>
                  <w:rStyle w:val="InternetLink"/>
                  <w:rFonts w:ascii="Arial;sans-serif" w:hAnsi="Arial;sans-serif"/>
                  <w:b w:val="false"/>
                  <w:strike w:val="false"/>
                  <w:dstrike w:val="false"/>
                  <w:color w:val="0000FF"/>
                  <w:sz w:val="16"/>
                  <w:u w:val="none"/>
                  <w:effect w:val="none"/>
                </w:rPr>
                <w:t>Consolidated Statements of Comprehensive (Loss) Income for the three and six months ended June 30, 2026 and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25">
              <w:r>
                <w:rPr>
                  <w:rStyle w:val="InternetLink"/>
                  <w:rFonts w:ascii="Arial;sans-serif" w:hAnsi="Arial;sans-serif"/>
                  <w:b w:val="false"/>
                  <w:strike w:val="false"/>
                  <w:dstrike w:val="false"/>
                  <w:color w:val="0000FF"/>
                  <w:sz w:val="16"/>
                  <w:u w:val="none"/>
                  <w:effect w:val="none"/>
                </w:rPr>
                <w:t>8</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8357f59dd7cf4437bb2172eb695c1449_28">
              <w:r>
                <w:rPr>
                  <w:rStyle w:val="InternetLink"/>
                  <w:rFonts w:ascii="Arial;sans-serif" w:hAnsi="Arial;sans-serif"/>
                  <w:b w:val="false"/>
                  <w:strike w:val="false"/>
                  <w:dstrike w:val="false"/>
                  <w:color w:val="0000FF"/>
                  <w:sz w:val="16"/>
                  <w:u w:val="none"/>
                  <w:effect w:val="none"/>
                </w:rPr>
                <w:t>Consolidated Statements of Changes in Equity for the three and six months ended June 30, 2026 and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28">
              <w:r>
                <w:rPr>
                  <w:rStyle w:val="InternetLink"/>
                  <w:rFonts w:ascii="Arial;sans-serif" w:hAnsi="Arial;sans-serif"/>
                  <w:b w:val="false"/>
                  <w:strike w:val="false"/>
                  <w:dstrike w:val="false"/>
                  <w:color w:val="0000FF"/>
                  <w:sz w:val="16"/>
                  <w:u w:val="none"/>
                  <w:effect w:val="none"/>
                </w:rPr>
                <w:t>9</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8357f59dd7cf4437bb2172eb695c1449_31">
              <w:r>
                <w:rPr>
                  <w:rStyle w:val="InternetLink"/>
                  <w:rFonts w:ascii="Arial;sans-serif" w:hAnsi="Arial;sans-serif"/>
                  <w:b w:val="false"/>
                  <w:strike w:val="false"/>
                  <w:dstrike w:val="false"/>
                  <w:color w:val="0000FF"/>
                  <w:sz w:val="16"/>
                  <w:u w:val="none"/>
                  <w:effect w:val="none"/>
                </w:rPr>
                <w:t>Consolidated Statements of Cash Flows for the six months ended June 30, 2026 and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31">
              <w:r>
                <w:rPr>
                  <w:rStyle w:val="InternetLink"/>
                  <w:rFonts w:ascii="Arial;sans-serif" w:hAnsi="Arial;sans-serif"/>
                  <w:b w:val="false"/>
                  <w:strike w:val="false"/>
                  <w:dstrike w:val="false"/>
                  <w:color w:val="0000FF"/>
                  <w:sz w:val="16"/>
                  <w:u w:val="none"/>
                  <w:effect w:val="none"/>
                </w:rPr>
                <w:t>11</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8357f59dd7cf4437bb2172eb695c1449_34">
              <w:r>
                <w:rPr>
                  <w:rStyle w:val="InternetLink"/>
                  <w:rFonts w:ascii="Arial;sans-serif" w:hAnsi="Arial;sans-serif"/>
                  <w:b w:val="false"/>
                  <w:strike w:val="false"/>
                  <w:dstrike w:val="false"/>
                  <w:color w:val="0000FF"/>
                  <w:sz w:val="16"/>
                  <w:u w:val="none"/>
                  <w:effect w:val="non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34">
              <w:r>
                <w:rPr>
                  <w:rStyle w:val="InternetLink"/>
                  <w:rFonts w:ascii="Arial;sans-serif" w:hAnsi="Arial;sans-serif"/>
                  <w:b w:val="false"/>
                  <w:strike w:val="false"/>
                  <w:dstrike w:val="false"/>
                  <w:color w:val="0000FF"/>
                  <w:sz w:val="16"/>
                  <w:u w:val="none"/>
                  <w:effect w:val="none"/>
                </w:rPr>
                <w:t>13</w:t>
              </w:r>
            </w:hyperlink>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87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40">
              <w:r>
                <w:rPr>
                  <w:rStyle w:val="InternetLink"/>
                  <w:rFonts w:ascii="Arial;sans-serif" w:hAnsi="Arial;sans-serif"/>
                  <w:b w:val="false"/>
                  <w:strike w:val="false"/>
                  <w:dstrike w:val="false"/>
                  <w:color w:val="0000FF"/>
                  <w:sz w:val="16"/>
                  <w:u w:val="none"/>
                  <w:effect w:val="none"/>
                </w:rPr>
                <w:t>Note 1: Summary of Significant Accounting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40">
              <w:r>
                <w:rPr>
                  <w:rStyle w:val="InternetLink"/>
                  <w:rFonts w:ascii="Arial;sans-serif" w:hAnsi="Arial;sans-serif"/>
                  <w:b w:val="false"/>
                  <w:strike w:val="false"/>
                  <w:dstrike w:val="false"/>
                  <w:color w:val="0000FF"/>
                  <w:sz w:val="16"/>
                  <w:u w:val="none"/>
                  <w:effect w:val="none"/>
                </w:rPr>
                <w:t>13</w:t>
              </w:r>
            </w:hyperlink>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87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49">
              <w:r>
                <w:rPr>
                  <w:rStyle w:val="InternetLink"/>
                  <w:rFonts w:ascii="Arial;sans-serif" w:hAnsi="Arial;sans-serif"/>
                  <w:b w:val="false"/>
                  <w:strike w:val="false"/>
                  <w:dstrike w:val="false"/>
                  <w:color w:val="0000FF"/>
                  <w:sz w:val="16"/>
                  <w:u w:val="none"/>
                  <w:effect w:val="none"/>
                </w:rPr>
                <w:t>Note 2: Acquisitions and Divestitures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49">
              <w:r>
                <w:rPr>
                  <w:rStyle w:val="InternetLink"/>
                  <w:rFonts w:ascii="Arial;sans-serif" w:hAnsi="Arial;sans-serif"/>
                  <w:b w:val="false"/>
                  <w:strike w:val="false"/>
                  <w:dstrike w:val="false"/>
                  <w:color w:val="0000FF"/>
                  <w:sz w:val="16"/>
                  <w:u w:val="none"/>
                  <w:effect w:val="none"/>
                </w:rPr>
                <w:t>15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61">
              <w:r>
                <w:rPr>
                  <w:rStyle w:val="InternetLink"/>
                  <w:rFonts w:ascii="Arial;sans-serif" w:hAnsi="Arial;sans-serif"/>
                  <w:b w:val="false"/>
                  <w:strike w:val="false"/>
                  <w:dstrike w:val="false"/>
                  <w:color w:val="0000FF"/>
                  <w:sz w:val="16"/>
                  <w:u w:val="none"/>
                  <w:effect w:val="none"/>
                </w:rPr>
                <w:t>Note 3: Leasing Equipment,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61">
              <w:r>
                <w:rPr>
                  <w:rStyle w:val="InternetLink"/>
                  <w:rFonts w:ascii="Arial;sans-serif" w:hAnsi="Arial;sans-serif"/>
                  <w:b w:val="false"/>
                  <w:strike w:val="false"/>
                  <w:dstrike w:val="false"/>
                  <w:color w:val="0000FF"/>
                  <w:sz w:val="16"/>
                  <w:u w:val="none"/>
                  <w:effect w:val="none"/>
                </w:rPr>
                <w:t>19</w:t>
              </w:r>
            </w:hyperlink>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87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70">
              <w:r>
                <w:rPr>
                  <w:rStyle w:val="InternetLink"/>
                  <w:rFonts w:ascii="Arial;sans-serif" w:hAnsi="Arial;sans-serif"/>
                  <w:b w:val="false"/>
                  <w:strike w:val="false"/>
                  <w:dstrike w:val="false"/>
                  <w:color w:val="0000FF"/>
                  <w:sz w:val="16"/>
                  <w:u w:val="none"/>
                  <w:effect w:val="none"/>
                </w:rPr>
                <w:t>Note 4: Property, Plant and Equipment,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70">
              <w:r>
                <w:rPr>
                  <w:rStyle w:val="InternetLink"/>
                  <w:rFonts w:ascii="Arial;sans-serif" w:hAnsi="Arial;sans-serif"/>
                  <w:b w:val="false"/>
                  <w:strike w:val="false"/>
                  <w:dstrike w:val="false"/>
                  <w:color w:val="0000FF"/>
                  <w:sz w:val="16"/>
                  <w:u w:val="none"/>
                  <w:effect w:val="none"/>
                </w:rPr>
                <w:t>19</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73">
              <w:r>
                <w:rPr>
                  <w:rStyle w:val="InternetLink"/>
                  <w:rFonts w:ascii="Arial;sans-serif" w:hAnsi="Arial;sans-serif"/>
                  <w:b w:val="false"/>
                  <w:strike w:val="false"/>
                  <w:dstrike w:val="false"/>
                  <w:color w:val="0000FF"/>
                  <w:sz w:val="16"/>
                  <w:u w:val="none"/>
                  <w:effect w:val="none"/>
                </w:rPr>
                <w:t>Note 5: 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73">
              <w:r>
                <w:rPr>
                  <w:rStyle w:val="InternetLink"/>
                  <w:rFonts w:ascii="Arial;sans-serif" w:hAnsi="Arial;sans-serif"/>
                  <w:b w:val="false"/>
                  <w:strike w:val="false"/>
                  <w:dstrike w:val="false"/>
                  <w:color w:val="0000FF"/>
                  <w:sz w:val="16"/>
                  <w:u w:val="none"/>
                  <w:effect w:val="none"/>
                </w:rPr>
                <w:t>20</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82">
              <w:r>
                <w:rPr>
                  <w:rStyle w:val="InternetLink"/>
                  <w:rFonts w:ascii="Arial;sans-serif" w:hAnsi="Arial;sans-serif"/>
                  <w:b w:val="false"/>
                  <w:strike w:val="false"/>
                  <w:dstrike w:val="false"/>
                  <w:color w:val="0000FF"/>
                  <w:sz w:val="16"/>
                  <w:u w:val="none"/>
                  <w:effect w:val="none"/>
                </w:rPr>
                <w:t>Note 6: Intangible Assets,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82">
              <w:r>
                <w:rPr>
                  <w:rStyle w:val="InternetLink"/>
                  <w:rFonts w:ascii="Arial;sans-serif" w:hAnsi="Arial;sans-serif"/>
                  <w:b w:val="false"/>
                  <w:strike w:val="false"/>
                  <w:dstrike w:val="false"/>
                  <w:color w:val="0000FF"/>
                  <w:sz w:val="16"/>
                  <w:u w:val="none"/>
                  <w:effect w:val="none"/>
                </w:rPr>
                <w:t>20</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85">
              <w:r>
                <w:rPr>
                  <w:rStyle w:val="InternetLink"/>
                  <w:rFonts w:ascii="Arial;sans-serif" w:hAnsi="Arial;sans-serif"/>
                  <w:b w:val="false"/>
                  <w:strike w:val="false"/>
                  <w:dstrike w:val="false"/>
                  <w:color w:val="0000FF"/>
                  <w:sz w:val="16"/>
                  <w:u w:val="none"/>
                  <w:effect w:val="none"/>
                </w:rPr>
                <w:t>Note 7: Debt,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85">
              <w:r>
                <w:rPr>
                  <w:rStyle w:val="InternetLink"/>
                  <w:rFonts w:ascii="Arial;sans-serif" w:hAnsi="Arial;sans-serif"/>
                  <w:b w:val="false"/>
                  <w:strike w:val="false"/>
                  <w:dstrike w:val="false"/>
                  <w:color w:val="0000FF"/>
                  <w:sz w:val="16"/>
                  <w:u w:val="none"/>
                  <w:effect w:val="none"/>
                </w:rPr>
                <w:t>22</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88">
              <w:r>
                <w:rPr>
                  <w:rStyle w:val="InternetLink"/>
                  <w:rFonts w:ascii="Arial;sans-serif" w:hAnsi="Arial;sans-serif"/>
                  <w:b w:val="false"/>
                  <w:strike w:val="false"/>
                  <w:dstrike w:val="false"/>
                  <w:color w:val="0000FF"/>
                  <w:sz w:val="16"/>
                  <w:u w:val="none"/>
                  <w:effect w:val="none"/>
                </w:rPr>
                <w:t>Note 8: Fair Value Measurements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88">
              <w:r>
                <w:rPr>
                  <w:rStyle w:val="InternetLink"/>
                  <w:rFonts w:ascii="Arial;sans-serif" w:hAnsi="Arial;sans-serif"/>
                  <w:b w:val="false"/>
                  <w:strike w:val="false"/>
                  <w:dstrike w:val="false"/>
                  <w:color w:val="0000FF"/>
                  <w:sz w:val="16"/>
                  <w:u w:val="none"/>
                  <w:effect w:val="none"/>
                </w:rPr>
                <w:t>24</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94">
              <w:r>
                <w:rPr>
                  <w:rStyle w:val="InternetLink"/>
                  <w:rFonts w:ascii="Arial;sans-serif" w:hAnsi="Arial;sans-serif"/>
                  <w:b w:val="false"/>
                  <w:strike w:val="false"/>
                  <w:dstrike w:val="false"/>
                  <w:color w:val="0000FF"/>
                  <w:sz w:val="16"/>
                  <w:u w:val="none"/>
                  <w:effect w:val="none"/>
                </w:rPr>
                <w:t>Note 9: Derivative Financial Instruments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94">
              <w:r>
                <w:rPr>
                  <w:rStyle w:val="InternetLink"/>
                  <w:rFonts w:ascii="Arial;sans-serif" w:hAnsi="Arial;sans-serif"/>
                  <w:b w:val="false"/>
                  <w:strike w:val="false"/>
                  <w:dstrike w:val="false"/>
                  <w:color w:val="0000FF"/>
                  <w:sz w:val="16"/>
                  <w:u w:val="none"/>
                  <w:effect w:val="none"/>
                </w:rPr>
                <w:t>26</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100">
              <w:r>
                <w:rPr>
                  <w:rStyle w:val="InternetLink"/>
                  <w:rFonts w:ascii="Arial;sans-serif" w:hAnsi="Arial;sans-serif"/>
                  <w:b w:val="false"/>
                  <w:strike w:val="false"/>
                  <w:dstrike w:val="false"/>
                  <w:color w:val="0000FF"/>
                  <w:sz w:val="16"/>
                  <w:u w:val="none"/>
                  <w:effect w:val="none"/>
                </w:rPr>
                <w:t>Note 10: Revenues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100">
              <w:r>
                <w:rPr>
                  <w:rStyle w:val="InternetLink"/>
                  <w:rFonts w:ascii="Arial;sans-serif" w:hAnsi="Arial;sans-serif"/>
                  <w:b w:val="false"/>
                  <w:strike w:val="false"/>
                  <w:dstrike w:val="false"/>
                  <w:color w:val="0000FF"/>
                  <w:sz w:val="16"/>
                  <w:u w:val="none"/>
                  <w:effect w:val="none"/>
                </w:rPr>
                <w:t>27</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109">
              <w:r>
                <w:rPr>
                  <w:rStyle w:val="InternetLink"/>
                  <w:rFonts w:ascii="Arial;sans-serif" w:hAnsi="Arial;sans-serif"/>
                  <w:b w:val="false"/>
                  <w:strike w:val="false"/>
                  <w:dstrike w:val="false"/>
                  <w:color w:val="0000FF"/>
                  <w:sz w:val="16"/>
                  <w:u w:val="none"/>
                  <w:effect w:val="none"/>
                </w:rPr>
                <w:t>Note 11: Equity-Based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109">
              <w:r>
                <w:rPr>
                  <w:rStyle w:val="InternetLink"/>
                  <w:rFonts w:ascii="Arial;sans-serif" w:hAnsi="Arial;sans-serif"/>
                  <w:b w:val="false"/>
                  <w:strike w:val="false"/>
                  <w:dstrike w:val="false"/>
                  <w:color w:val="0000FF"/>
                  <w:sz w:val="16"/>
                  <w:u w:val="none"/>
                  <w:effect w:val="none"/>
                </w:rPr>
                <w:t>28</w:t>
              </w:r>
            </w:hyperlink>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87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118">
              <w:r>
                <w:rPr>
                  <w:rStyle w:val="InternetLink"/>
                  <w:rFonts w:ascii="Arial;sans-serif" w:hAnsi="Arial;sans-serif"/>
                  <w:b w:val="false"/>
                  <w:strike w:val="false"/>
                  <w:dstrike w:val="false"/>
                  <w:color w:val="0000FF"/>
                  <w:sz w:val="16"/>
                  <w:u w:val="none"/>
                  <w:effect w:val="none"/>
                </w:rPr>
                <w:t>Note 12: Income Taxes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118">
              <w:r>
                <w:rPr>
                  <w:rStyle w:val="InternetLink"/>
                  <w:rFonts w:ascii="Arial;sans-serif" w:hAnsi="Arial;sans-serif"/>
                  <w:b w:val="false"/>
                  <w:strike w:val="false"/>
                  <w:dstrike w:val="false"/>
                  <w:color w:val="0000FF"/>
                  <w:sz w:val="16"/>
                  <w:u w:val="none"/>
                  <w:effect w:val="none"/>
                </w:rPr>
                <w:t>29</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124">
              <w:r>
                <w:rPr>
                  <w:rStyle w:val="InternetLink"/>
                  <w:rFonts w:ascii="Arial;sans-serif" w:hAnsi="Arial;sans-serif"/>
                  <w:b w:val="false"/>
                  <w:strike w:val="false"/>
                  <w:dstrike w:val="false"/>
                  <w:color w:val="0000FF"/>
                  <w:sz w:val="16"/>
                  <w:u w:val="none"/>
                  <w:effect w:val="none"/>
                </w:rPr>
                <w:t>Note 13: Management Agreement and Affiliate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124">
              <w:r>
                <w:rPr>
                  <w:rStyle w:val="InternetLink"/>
                  <w:rFonts w:ascii="Arial;sans-serif" w:hAnsi="Arial;sans-serif"/>
                  <w:b w:val="false"/>
                  <w:strike w:val="false"/>
                  <w:dstrike w:val="false"/>
                  <w:color w:val="0000FF"/>
                  <w:sz w:val="16"/>
                  <w:u w:val="none"/>
                  <w:effect w:val="none"/>
                </w:rPr>
                <w:t>29</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127">
              <w:r>
                <w:rPr>
                  <w:rStyle w:val="InternetLink"/>
                  <w:rFonts w:ascii="Arial;sans-serif" w:hAnsi="Arial;sans-serif"/>
                  <w:b w:val="false"/>
                  <w:strike w:val="false"/>
                  <w:dstrike w:val="false"/>
                  <w:color w:val="0000FF"/>
                  <w:sz w:val="16"/>
                  <w:u w:val="none"/>
                  <w:effect w:val="none"/>
                </w:rPr>
                <w:t>Note 14: Segment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127">
              <w:r>
                <w:rPr>
                  <w:rStyle w:val="InternetLink"/>
                  <w:rFonts w:ascii="Arial;sans-serif" w:hAnsi="Arial;sans-serif"/>
                  <w:b w:val="false"/>
                  <w:strike w:val="false"/>
                  <w:dstrike w:val="false"/>
                  <w:color w:val="0000FF"/>
                  <w:sz w:val="16"/>
                  <w:u w:val="none"/>
                  <w:effect w:val="none"/>
                </w:rPr>
                <w:t>32</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133">
              <w:r>
                <w:rPr>
                  <w:rStyle w:val="InternetLink"/>
                  <w:rFonts w:ascii="Arial;sans-serif" w:hAnsi="Arial;sans-serif"/>
                  <w:b w:val="false"/>
                  <w:strike w:val="false"/>
                  <w:dstrike w:val="false"/>
                  <w:color w:val="0000FF"/>
                  <w:sz w:val="16"/>
                  <w:u w:val="none"/>
                  <w:effect w:val="none"/>
                </w:rPr>
                <w:t>Note 15: Redeemable Preferred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133">
              <w:r>
                <w:rPr>
                  <w:rStyle w:val="InternetLink"/>
                  <w:rFonts w:ascii="Arial;sans-serif" w:hAnsi="Arial;sans-serif"/>
                  <w:b w:val="false"/>
                  <w:strike w:val="false"/>
                  <w:dstrike w:val="false"/>
                  <w:color w:val="0000FF"/>
                  <w:sz w:val="16"/>
                  <w:u w:val="none"/>
                  <w:effect w:val="none"/>
                </w:rPr>
                <w:t>42</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139">
              <w:r>
                <w:rPr>
                  <w:rStyle w:val="InternetLink"/>
                  <w:rFonts w:ascii="Arial;sans-serif" w:hAnsi="Arial;sans-serif"/>
                  <w:b w:val="false"/>
                  <w:strike w:val="false"/>
                  <w:dstrike w:val="false"/>
                  <w:color w:val="0000FF"/>
                  <w:sz w:val="16"/>
                  <w:u w:val="none"/>
                  <w:effect w:val="none"/>
                </w:rPr>
                <w:t>Note 16: Earnings per Share and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139">
              <w:r>
                <w:rPr>
                  <w:rStyle w:val="InternetLink"/>
                  <w:rFonts w:ascii="Arial;sans-serif" w:hAnsi="Arial;sans-serif"/>
                  <w:b w:val="false"/>
                  <w:strike w:val="false"/>
                  <w:dstrike w:val="false"/>
                  <w:color w:val="0000FF"/>
                  <w:sz w:val="16"/>
                  <w:u w:val="none"/>
                  <w:effect w:val="none"/>
                </w:rPr>
                <w:t>42</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148">
              <w:r>
                <w:rPr>
                  <w:rStyle w:val="InternetLink"/>
                  <w:rFonts w:ascii="Arial;sans-serif" w:hAnsi="Arial;sans-serif"/>
                  <w:b w:val="false"/>
                  <w:strike w:val="false"/>
                  <w:dstrike w:val="false"/>
                  <w:color w:val="0000FF"/>
                  <w:sz w:val="16"/>
                  <w:u w:val="none"/>
                  <w:effect w:val="none"/>
                </w:rPr>
                <w:t>Note 17: 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148">
              <w:r>
                <w:rPr>
                  <w:rStyle w:val="InternetLink"/>
                  <w:rFonts w:ascii="Arial;sans-serif" w:hAnsi="Arial;sans-serif"/>
                  <w:b w:val="false"/>
                  <w:strike w:val="false"/>
                  <w:dstrike w:val="false"/>
                  <w:color w:val="0000FF"/>
                  <w:sz w:val="16"/>
                  <w:u w:val="none"/>
                  <w:effect w:val="none"/>
                </w:rPr>
                <w:t>43</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154">
              <w:r>
                <w:rPr>
                  <w:rStyle w:val="InternetLink"/>
                  <w:rFonts w:ascii="Arial;sans-serif" w:hAnsi="Arial;sans-serif"/>
                  <w:b w:val="false"/>
                  <w:strike w:val="false"/>
                  <w:dstrike w:val="false"/>
                  <w:color w:val="0000FF"/>
                  <w:sz w:val="16"/>
                  <w:u w:val="none"/>
                  <w:effect w:val="none"/>
                </w:rPr>
                <w:t>Note 18: Subsequent Events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154">
              <w:r>
                <w:rPr>
                  <w:rStyle w:val="InternetLink"/>
                  <w:rFonts w:ascii="Arial;sans-serif" w:hAnsi="Arial;sans-serif"/>
                  <w:b w:val="false"/>
                  <w:strike w:val="false"/>
                  <w:dstrike w:val="false"/>
                  <w:color w:val="0000FF"/>
                  <w:sz w:val="16"/>
                  <w:u w:val="none"/>
                  <w:effect w:val="none"/>
                </w:rPr>
                <w:t>43</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2.</w:t>
            </w:r>
          </w:p>
        </w:tc>
        <w:tc>
          <w:tcPr>
            <w:tcW w:w="879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8357f59dd7cf4437bb2172eb695c1449_157">
              <w:r>
                <w:rPr>
                  <w:rStyle w:val="InternetLink"/>
                  <w:rFonts w:ascii="Arial;sans-serif" w:hAnsi="Arial;sans-serif"/>
                  <w:b w:val="false"/>
                  <w:strike w:val="false"/>
                  <w:dstrike w:val="false"/>
                  <w:color w:val="0000FF"/>
                  <w:sz w:val="16"/>
                  <w:u w:val="none"/>
                  <w:effect w:val="non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157">
              <w:r>
                <w:rPr>
                  <w:rStyle w:val="InternetLink"/>
                  <w:rFonts w:ascii="Arial;sans-serif" w:hAnsi="Arial;sans-serif"/>
                  <w:b w:val="false"/>
                  <w:strike w:val="false"/>
                  <w:dstrike w:val="false"/>
                  <w:color w:val="0000FF"/>
                  <w:sz w:val="16"/>
                  <w:u w:val="none"/>
                  <w:effect w:val="none"/>
                </w:rPr>
                <w:t>44</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3.</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226">
              <w:r>
                <w:rPr>
                  <w:rStyle w:val="InternetLink"/>
                  <w:rFonts w:ascii="Arial;sans-serif" w:hAnsi="Arial;sans-serif"/>
                  <w:b w:val="false"/>
                  <w:strike w:val="false"/>
                  <w:dstrike w:val="false"/>
                  <w:color w:val="0000FF"/>
                  <w:sz w:val="16"/>
                  <w:u w:val="none"/>
                  <w:effect w:val="non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226">
              <w:r>
                <w:rPr>
                  <w:rStyle w:val="InternetLink"/>
                  <w:rFonts w:ascii="Arial;sans-serif" w:hAnsi="Arial;sans-serif"/>
                  <w:b w:val="false"/>
                  <w:strike w:val="false"/>
                  <w:dstrike w:val="false"/>
                  <w:color w:val="0000FF"/>
                  <w:sz w:val="16"/>
                  <w:u w:val="none"/>
                  <w:effect w:val="none"/>
                </w:rPr>
                <w:t>64</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4.</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229">
              <w:r>
                <w:rPr>
                  <w:rStyle w:val="InternetLink"/>
                  <w:rFonts w:ascii="Arial;sans-serif" w:hAnsi="Arial;sans-serif"/>
                  <w:b w:val="false"/>
                  <w:strike w:val="false"/>
                  <w:dstrike w:val="false"/>
                  <w:color w:val="0000FF"/>
                  <w:sz w:val="16"/>
                  <w:u w:val="none"/>
                  <w:effect w:val="non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229">
              <w:r>
                <w:rPr>
                  <w:rStyle w:val="InternetLink"/>
                  <w:rFonts w:ascii="Arial;sans-serif" w:hAnsi="Arial;sans-serif"/>
                  <w:b w:val="false"/>
                  <w:strike w:val="false"/>
                  <w:dstrike w:val="false"/>
                  <w:color w:val="0000FF"/>
                  <w:sz w:val="16"/>
                  <w:u w:val="none"/>
                  <w:effect w:val="none"/>
                </w:rPr>
                <w:t>65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EBF"/>
                <w:sz w:val="16"/>
              </w:rPr>
            </w:pPr>
            <w:r>
              <w:rPr>
                <w:rFonts w:ascii="Arial;sans-serif" w:hAnsi="Arial;sans-serif"/>
                <w:b/>
                <w:color w:val="006EBF"/>
                <w:sz w:val="16"/>
              </w:rPr>
              <w:t>PART II - OTHER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1.</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235">
              <w:r>
                <w:rPr>
                  <w:rStyle w:val="InternetLink"/>
                  <w:rFonts w:ascii="Arial;sans-serif" w:hAnsi="Arial;sans-serif"/>
                  <w:b w:val="false"/>
                  <w:strike w:val="false"/>
                  <w:dstrike w:val="false"/>
                  <w:color w:val="0000FF"/>
                  <w:sz w:val="16"/>
                  <w:u w:val="none"/>
                  <w:effect w:val="non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235">
              <w:r>
                <w:rPr>
                  <w:rStyle w:val="InternetLink"/>
                  <w:rFonts w:ascii="Arial;sans-serif" w:hAnsi="Arial;sans-serif"/>
                  <w:b w:val="false"/>
                  <w:strike w:val="false"/>
                  <w:dstrike w:val="false"/>
                  <w:color w:val="0000FF"/>
                  <w:sz w:val="16"/>
                  <w:u w:val="none"/>
                  <w:effect w:val="none"/>
                </w:rPr>
                <w:t>66</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1A.</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238">
              <w:r>
                <w:rPr>
                  <w:rStyle w:val="InternetLink"/>
                  <w:rFonts w:ascii="Arial;sans-serif" w:hAnsi="Arial;sans-serif"/>
                  <w:b w:val="false"/>
                  <w:strike w:val="false"/>
                  <w:dstrike w:val="false"/>
                  <w:color w:val="0000FF"/>
                  <w:sz w:val="16"/>
                  <w:u w:val="none"/>
                  <w:effect w:val="non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238">
              <w:r>
                <w:rPr>
                  <w:rStyle w:val="InternetLink"/>
                  <w:rFonts w:ascii="Arial;sans-serif" w:hAnsi="Arial;sans-serif"/>
                  <w:b w:val="false"/>
                  <w:strike w:val="false"/>
                  <w:dstrike w:val="false"/>
                  <w:color w:val="0000FF"/>
                  <w:sz w:val="16"/>
                  <w:u w:val="none"/>
                  <w:effect w:val="none"/>
                </w:rPr>
                <w:t>66</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 xml:space="preserve">Item 2. </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241">
              <w:r>
                <w:rPr>
                  <w:rStyle w:val="InternetLink"/>
                  <w:rFonts w:ascii="Arial;sans-serif" w:hAnsi="Arial;sans-serif"/>
                  <w:b w:val="false"/>
                  <w:strike w:val="false"/>
                  <w:dstrike w:val="false"/>
                  <w:color w:val="0000FF"/>
                  <w:sz w:val="16"/>
                  <w:u w:val="none"/>
                  <w:effect w:val="non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241">
              <w:r>
                <w:rPr>
                  <w:rStyle w:val="InternetLink"/>
                  <w:rFonts w:ascii="Arial;sans-serif" w:hAnsi="Arial;sans-serif"/>
                  <w:b w:val="false"/>
                  <w:strike w:val="false"/>
                  <w:dstrike w:val="false"/>
                  <w:color w:val="0000FF"/>
                  <w:sz w:val="16"/>
                  <w:u w:val="none"/>
                  <w:effect w:val="none"/>
                </w:rPr>
                <w:t>86</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3.</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244">
              <w:r>
                <w:rPr>
                  <w:rStyle w:val="InternetLink"/>
                  <w:rFonts w:ascii="Arial;sans-serif" w:hAnsi="Arial;sans-serif"/>
                  <w:b w:val="false"/>
                  <w:strike w:val="false"/>
                  <w:dstrike w:val="false"/>
                  <w:color w:val="0000FF"/>
                  <w:sz w:val="16"/>
                  <w:u w:val="none"/>
                  <w:effect w:val="non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244">
              <w:r>
                <w:rPr>
                  <w:rStyle w:val="InternetLink"/>
                  <w:rFonts w:ascii="Arial;sans-serif" w:hAnsi="Arial;sans-serif"/>
                  <w:b w:val="false"/>
                  <w:strike w:val="false"/>
                  <w:dstrike w:val="false"/>
                  <w:color w:val="0000FF"/>
                  <w:sz w:val="16"/>
                  <w:u w:val="none"/>
                  <w:effect w:val="none"/>
                </w:rPr>
                <w:t>86</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4.</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247">
              <w:r>
                <w:rPr>
                  <w:rStyle w:val="InternetLink"/>
                  <w:rFonts w:ascii="Arial;sans-serif" w:hAnsi="Arial;sans-serif"/>
                  <w:b w:val="false"/>
                  <w:strike w:val="false"/>
                  <w:dstrike w:val="false"/>
                  <w:color w:val="0000FF"/>
                  <w:sz w:val="16"/>
                  <w:u w:val="none"/>
                  <w:effect w:val="non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247">
              <w:r>
                <w:rPr>
                  <w:rStyle w:val="InternetLink"/>
                  <w:rFonts w:ascii="Arial;sans-serif" w:hAnsi="Arial;sans-serif"/>
                  <w:b w:val="false"/>
                  <w:strike w:val="false"/>
                  <w:dstrike w:val="false"/>
                  <w:color w:val="0000FF"/>
                  <w:sz w:val="16"/>
                  <w:u w:val="none"/>
                  <w:effect w:val="none"/>
                </w:rPr>
                <w:t>86</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5.</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250">
              <w:r>
                <w:rPr>
                  <w:rStyle w:val="InternetLink"/>
                  <w:rFonts w:ascii="Arial;sans-serif" w:hAnsi="Arial;sans-serif"/>
                  <w:b w:val="false"/>
                  <w:strike w:val="false"/>
                  <w:dstrike w:val="false"/>
                  <w:color w:val="0000FF"/>
                  <w:sz w:val="16"/>
                  <w:u w:val="none"/>
                  <w:effect w:val="non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250">
              <w:r>
                <w:rPr>
                  <w:rStyle w:val="InternetLink"/>
                  <w:rFonts w:ascii="Arial;sans-serif" w:hAnsi="Arial;sans-serif"/>
                  <w:b w:val="false"/>
                  <w:strike w:val="false"/>
                  <w:dstrike w:val="false"/>
                  <w:color w:val="0000FF"/>
                  <w:sz w:val="16"/>
                  <w:u w:val="none"/>
                  <w:effect w:val="none"/>
                </w:rPr>
                <w:t>86</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6.</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57f59dd7cf4437bb2172eb695c1449_253">
              <w:r>
                <w:rPr>
                  <w:rStyle w:val="InternetLink"/>
                  <w:rFonts w:ascii="Arial;sans-serif" w:hAnsi="Arial;sans-serif"/>
                  <w:b w:val="false"/>
                  <w:strike w:val="false"/>
                  <w:dstrike w:val="false"/>
                  <w:color w:val="0000FF"/>
                  <w:sz w:val="16"/>
                  <w:u w:val="none"/>
                  <w:effect w:val="non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57f59dd7cf4437bb2172eb695c1449_253">
              <w:r>
                <w:rPr>
                  <w:rStyle w:val="InternetLink"/>
                  <w:rFonts w:ascii="Arial;sans-serif" w:hAnsi="Arial;sans-serif"/>
                  <w:b w:val="false"/>
                  <w:strike w:val="false"/>
                  <w:dstrike w:val="false"/>
                  <w:color w:val="0000FF"/>
                  <w:sz w:val="16"/>
                  <w:u w:val="none"/>
                  <w:effect w:val="none"/>
                </w:rPr>
                <w:t>87</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2740"/>
                <wp:effectExtent l="0" t="0" r="0" b="0"/>
                <wp:wrapNone/>
                <wp:docPr id="5" name="Frame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6EBF"/>
          <w:sz w:val="20"/>
        </w:rPr>
      </w:pPr>
      <w:r>
        <w:rPr>
          <w:rFonts w:ascii="Arial;sans-serif" w:hAnsi="Arial;sans-serif"/>
          <w:b/>
          <w:color w:val="006EBF"/>
          <w:sz w:val="20"/>
        </w:rPr>
        <w:t>PART I—FINANCIAL INFORMATION</w:t>
      </w:r>
    </w:p>
    <w:p>
      <w:pPr>
        <w:pStyle w:val="TextBody"/>
        <w:bidi w:val="0"/>
        <w:spacing w:lineRule="auto" w:line="288" w:before="0" w:after="0"/>
        <w:jc w:val="left"/>
        <w:rPr>
          <w:rFonts w:ascii="Arial;sans-serif" w:hAnsi="Arial;sans-serif"/>
          <w:b/>
          <w:color w:val="006EBF"/>
          <w:sz w:val="20"/>
        </w:rPr>
      </w:pPr>
      <w:r>
        <w:rPr>
          <w:rFonts w:ascii="Arial;sans-serif" w:hAnsi="Arial;sans-serif"/>
          <w:b/>
          <w:color w:val="006EBF"/>
          <w:sz w:val="20"/>
        </w:rPr>
        <w:t>Item 1. Financial Statements</w: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 xml:space="preserve">CONSOLIDATED BALANCE SHEETS </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707"/>
        <w:gridCol w:w="1897"/>
        <w:gridCol w:w="1882"/>
        <w:gridCol w:w="190"/>
        <w:gridCol w:w="190"/>
        <w:gridCol w:w="191"/>
        <w:gridCol w:w="109"/>
        <w:gridCol w:w="109"/>
        <w:gridCol w:w="109"/>
        <w:gridCol w:w="196"/>
        <w:gridCol w:w="886"/>
        <w:gridCol w:w="109"/>
        <w:gridCol w:w="109"/>
        <w:gridCol w:w="109"/>
        <w:gridCol w:w="109"/>
        <w:gridCol w:w="208"/>
        <w:gridCol w:w="928"/>
        <w:gridCol w:w="167"/>
      </w:tblGrid>
      <w:tr>
        <w:trPr/>
        <w:tc>
          <w:tcPr>
            <w:tcW w:w="2707"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32,628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cash equivalents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139,947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268,595 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89,759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 held for sale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367,767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484,011 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equipment, net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net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154,406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133,493 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3,135,540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4,581,771 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55,980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275,366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365,703 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100,241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assets held for sale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1,600,457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5,746,745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5,748,661 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236,752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280,707 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net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476,768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29,791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 held for sale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579,713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1,334,009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409,997 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net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2,286,949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3,708,735 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91,474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 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82,523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 liabilities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289,279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300,231 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liabilities held for sale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911,169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5,108,423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4,804,678 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Redeemable convertible preferred stock Series B</w:t>
            </w:r>
            <w:r>
              <w:rPr>
                <w:color w:val="000000"/>
              </w:rPr>
              <w:t xml:space="preserve"> </w:t>
            </w:r>
            <w:r>
              <w:rPr>
                <w:rFonts w:ascii="Arial;sans-serif" w:hAnsi="Arial;sans-serif"/>
                <w:b w:val="false"/>
                <w:color w:val="000000"/>
                <w:sz w:val="16"/>
              </w:rPr>
              <w:t>($0.01 par value per share; 200,000,000 total preferred shares authorized; 160,000 Series B shares issued and outstanding as of June 30, 2026 and December 31, 2025; redemption amount of $192.0 million and $192.0 million at June 30, 2026 and December 31, 2025, respectively)</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153,298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color w:val="000000"/>
                <w:sz w:val="16"/>
              </w:rPr>
              <w:t>Redeemable preferred stock Series A RailCo - Non-controlling interest</w:t>
            </w:r>
            <w:r>
              <w:rPr>
                <w:color w:val="000000"/>
              </w:rPr>
              <w:t xml:space="preserve"> </w:t>
            </w:r>
            <w:r>
              <w:rPr>
                <w:rFonts w:ascii="Arial;sans-serif" w:hAnsi="Arial;sans-serif"/>
                <w:b w:val="false"/>
                <w:color w:val="000000"/>
                <w:sz w:val="16"/>
              </w:rPr>
              <w:t>(zero par value per share; 1,000,000 total preferred shares authorized; 1,000,000 Series A - RailCo shares issued and outstanding as of June 30, 2026 and December 31, 2025; redemption amount of $1.4 billion and $1.4 billion at June 30, 2026 and December 31, 2025, respectively)</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1,003,747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937,578 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2740"/>
                <wp:effectExtent l="0" t="0" r="0" b="0"/>
                <wp:wrapNone/>
                <wp:docPr id="6" name="Frame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w: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COMBINED CONSOLIDATED BALANCE SHEETS</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tbl>
      <w:tblPr>
        <w:tblW w:w="10205" w:type="dxa"/>
        <w:jc w:val="center"/>
        <w:tblInd w:w="0" w:type="dxa"/>
        <w:tblLayout w:type="fixed"/>
        <w:tblCellMar>
          <w:top w:w="28" w:type="dxa"/>
          <w:left w:w="28" w:type="dxa"/>
          <w:bottom w:w="28" w:type="dxa"/>
          <w:right w:w="28" w:type="dxa"/>
        </w:tblCellMar>
      </w:tblPr>
      <w:tblGrid>
        <w:gridCol w:w="2490"/>
        <w:gridCol w:w="2152"/>
        <w:gridCol w:w="2169"/>
        <w:gridCol w:w="109"/>
        <w:gridCol w:w="109"/>
        <w:gridCol w:w="109"/>
        <w:gridCol w:w="109"/>
        <w:gridCol w:w="109"/>
        <w:gridCol w:w="109"/>
        <w:gridCol w:w="196"/>
        <w:gridCol w:w="886"/>
        <w:gridCol w:w="109"/>
        <w:gridCol w:w="109"/>
        <w:gridCol w:w="109"/>
        <w:gridCol w:w="109"/>
        <w:gridCol w:w="196"/>
        <w:gridCol w:w="871"/>
        <w:gridCol w:w="155"/>
      </w:tblGrid>
      <w:tr>
        <w:trPr/>
        <w:tc>
          <w:tcPr>
            <w:tcW w:w="249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Common stock ($0.01 par value per share; 2,000,000,000 shares authorized; 118,181,737 and 116,294,461 shares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553,590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623,771 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(754,009)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(512,992)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(329,776)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21,324 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 in equity of consolidated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(188,947)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(518,723)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(146,237)</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redeemable preferred stock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5,746,745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5,748,661 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2740"/>
                <wp:effectExtent l="0" t="0" r="0" b="0"/>
                <wp:wrapNone/>
                <wp:docPr id="7" name="Frame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CONSOLIDATED STATEMENTS OF OPERATIONS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433"/>
        <w:gridCol w:w="1086"/>
        <w:gridCol w:w="1090"/>
        <w:gridCol w:w="190"/>
        <w:gridCol w:w="190"/>
        <w:gridCol w:w="191"/>
        <w:gridCol w:w="109"/>
        <w:gridCol w:w="109"/>
        <w:gridCol w:w="109"/>
        <w:gridCol w:w="220"/>
        <w:gridCol w:w="846"/>
        <w:gridCol w:w="109"/>
        <w:gridCol w:w="109"/>
        <w:gridCol w:w="109"/>
        <w:gridCol w:w="109"/>
        <w:gridCol w:w="221"/>
        <w:gridCol w:w="830"/>
        <w:gridCol w:w="109"/>
        <w:gridCol w:w="109"/>
        <w:gridCol w:w="109"/>
        <w:gridCol w:w="109"/>
        <w:gridCol w:w="220"/>
        <w:gridCol w:w="846"/>
        <w:gridCol w:w="109"/>
        <w:gridCol w:w="109"/>
        <w:gridCol w:w="109"/>
        <w:gridCol w:w="109"/>
        <w:gridCol w:w="221"/>
        <w:gridCol w:w="830"/>
        <w:gridCol w:w="156"/>
      </w:tblGrid>
      <w:tr>
        <w:trPr/>
        <w:tc>
          <w:tcPr>
            <w:tcW w:w="1433"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186,768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375,132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117,333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237,727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3, 4, 6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39,511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90,202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63,188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63,188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233,404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418,955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232,307 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earnings of unconsolidated entities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gain on sale of assets, net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modification or extinguishment of debt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Interest expense </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(187,979)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(102,316)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(expense) income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(104,383)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(230,884)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income before income taxes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(151,019)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(274,707)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from) provision for income taxes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(139,443)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(266,654)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50,205 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 in consolidated subsidiaries - common stockholders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(11,377)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(25,637)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(22,501)</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Preferred dividends and accretion on redeemable non-controlling interests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70,451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and accretion of redeemable preferred stock</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Convertible preferred stock dividend</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 attributable to common stockholders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(166,464)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(320,989)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24,359 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earnings per share:</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shares outstanding:</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118,163,955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114,880,817 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117,430,787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114,491,338 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118,163,955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114,880,817 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117,430,787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115,260,452 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2740"/>
                <wp:effectExtent l="0" t="0" r="0" b="0"/>
                <wp:wrapNone/>
                <wp:docPr id="8" name="Frame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CONSOLIDATED STATEMENTS OF COMPREHENSIVE (LOSS) INCOME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tbl>
      <w:tblPr>
        <w:tblW w:w="10064" w:type="dxa"/>
        <w:jc w:val="center"/>
        <w:tblInd w:w="0" w:type="dxa"/>
        <w:tblLayout w:type="fixed"/>
        <w:tblCellMar>
          <w:top w:w="28" w:type="dxa"/>
          <w:left w:w="28" w:type="dxa"/>
          <w:bottom w:w="28" w:type="dxa"/>
          <w:right w:w="28" w:type="dxa"/>
        </w:tblCellMar>
      </w:tblPr>
      <w:tblGrid>
        <w:gridCol w:w="1718"/>
        <w:gridCol w:w="1505"/>
        <w:gridCol w:w="1516"/>
        <w:gridCol w:w="196"/>
        <w:gridCol w:w="811"/>
        <w:gridCol w:w="109"/>
        <w:gridCol w:w="109"/>
        <w:gridCol w:w="109"/>
        <w:gridCol w:w="109"/>
        <w:gridCol w:w="196"/>
        <w:gridCol w:w="721"/>
        <w:gridCol w:w="109"/>
        <w:gridCol w:w="109"/>
        <w:gridCol w:w="109"/>
        <w:gridCol w:w="109"/>
        <w:gridCol w:w="196"/>
        <w:gridCol w:w="811"/>
        <w:gridCol w:w="109"/>
        <w:gridCol w:w="109"/>
        <w:gridCol w:w="109"/>
        <w:gridCol w:w="109"/>
        <w:gridCol w:w="196"/>
        <w:gridCol w:w="736"/>
        <w:gridCol w:w="154"/>
      </w:tblGrid>
      <w:tr>
        <w:trPr/>
        <w:tc>
          <w:tcPr>
            <w:tcW w:w="171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(139,443)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(266,654)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comprehensive income related to derivatives </w:t>
            </w:r>
            <w:r>
              <w:rPr>
                <w:rFonts w:ascii="Arial;sans-serif" w:hAnsi="Arial;sans-serif"/>
                <w:b w:val="false"/>
                <w:color w:val="000000"/>
                <w:sz w:val="10"/>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Change in pension and other employee benefit accounts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(loss) income</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(182,687)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(306,575)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190,172 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 attributable to non-controlling interests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(loss) income attributable to stockholders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(171,310)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(280,938)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212,673 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w:t>
      </w:r>
    </w:p>
    <w:p>
      <w:pPr>
        <w:pStyle w:val="TextBody"/>
        <w:bidi w:val="0"/>
        <w:spacing w:lineRule="auto" w:line="288" w:before="0" w:after="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Net of deferred tax benefit of $— million and $9.2 million</w:t>
      </w:r>
      <w:r>
        <w:rPr>
          <w:color w:val="000000"/>
        </w:rPr>
        <w:t xml:space="preserve"> </w:t>
      </w:r>
      <w:r>
        <w:rPr>
          <w:rFonts w:ascii="Arial;sans-serif" w:hAnsi="Arial;sans-serif"/>
          <w:b w:val="false"/>
          <w:color w:val="000000"/>
          <w:sz w:val="16"/>
        </w:rPr>
        <w:t>for the six months ended June 30, 2026 and 2025, respectively.</w:t>
      </w:r>
    </w:p>
    <w:p>
      <w:pPr>
        <w:pStyle w:val="TextBody"/>
        <w:bidi w:val="0"/>
        <w:spacing w:lineRule="auto" w:line="288" w:before="120" w:after="283"/>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2740"/>
                <wp:effectExtent l="0" t="0" r="0" b="0"/>
                <wp:wrapNone/>
                <wp:docPr id="9" name="Frame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CONSOLIDATED STATEMENTS OF CHANGES IN EQUITY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27"/>
        <w:gridCol w:w="360"/>
        <w:gridCol w:w="361"/>
        <w:gridCol w:w="199"/>
        <w:gridCol w:w="581"/>
        <w:gridCol w:w="111"/>
        <w:gridCol w:w="109"/>
        <w:gridCol w:w="109"/>
        <w:gridCol w:w="109"/>
        <w:gridCol w:w="203"/>
        <w:gridCol w:w="778"/>
        <w:gridCol w:w="112"/>
        <w:gridCol w:w="109"/>
        <w:gridCol w:w="109"/>
        <w:gridCol w:w="109"/>
        <w:gridCol w:w="217"/>
        <w:gridCol w:w="836"/>
        <w:gridCol w:w="122"/>
        <w:gridCol w:w="109"/>
        <w:gridCol w:w="109"/>
        <w:gridCol w:w="109"/>
        <w:gridCol w:w="263"/>
        <w:gridCol w:w="1011"/>
        <w:gridCol w:w="148"/>
        <w:gridCol w:w="109"/>
        <w:gridCol w:w="109"/>
        <w:gridCol w:w="109"/>
        <w:gridCol w:w="283"/>
        <w:gridCol w:w="1087"/>
        <w:gridCol w:w="158"/>
        <w:gridCol w:w="109"/>
        <w:gridCol w:w="109"/>
        <w:gridCol w:w="109"/>
        <w:gridCol w:w="196"/>
        <w:gridCol w:w="753"/>
        <w:gridCol w:w="164"/>
      </w:tblGrid>
      <w:tr>
        <w:trPr/>
        <w:tc>
          <w:tcPr>
            <w:tcW w:w="62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and Six Months Ended June 30, 2026</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 in Equity of Consolidated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December 31, 2025</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623,771 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(512,992)</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(90,618)</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(167,561)</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(146,237)</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(112,951)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(14,260)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(127,211)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3,323</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3,323</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(loss) income</w:t>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(112,951)</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3,323</w:t>
            </w: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(14,260)</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(123,888)</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equity-based compensation</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(2,823)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348"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348"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on common stock</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(3,545)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and accretion of redeemable preferred stock</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(37,221)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(37,221)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2,031</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10,978</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March 31, 2026</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1,182</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589,593</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(625,943)</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(87,295)</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(180,633)</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(303,096)</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(128,066)</w:t>
            </w:r>
          </w:p>
        </w:tc>
        <w:tc>
          <w:tcPr>
            <w:tcW w:w="12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(11,377)</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(139,443)</w:t>
            </w:r>
          </w:p>
        </w:tc>
        <w:tc>
          <w:tcPr>
            <w:tcW w:w="16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(43,244)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(43,244)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loss</w:t>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(128,066)</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(43,244)</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(11,377)</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(182,687)</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equity-based compensation</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348"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on common stock</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(3,545)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(3,545)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and accretion of redeemable preferred stock</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(33,887)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(33,887)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1,429</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4,031</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5,460</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June 30, 2026</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1,182</w:t>
            </w:r>
            <w:r>
              <w:rPr>
                <w:color w:val="000000"/>
              </w:rPr>
              <w:t>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553,590</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(754,009)</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(130,539)</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(188,947)</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(518,723)</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2740"/>
                <wp:effectExtent l="0" t="0" r="0" b="0"/>
                <wp:wrapNone/>
                <wp:docPr id="10" name="Frame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CONSOLIDATED STATEMENTS OF CHANGES IN EQUITY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31"/>
        <w:gridCol w:w="364"/>
        <w:gridCol w:w="365"/>
        <w:gridCol w:w="200"/>
        <w:gridCol w:w="568"/>
        <w:gridCol w:w="111"/>
        <w:gridCol w:w="109"/>
        <w:gridCol w:w="109"/>
        <w:gridCol w:w="109"/>
        <w:gridCol w:w="204"/>
        <w:gridCol w:w="766"/>
        <w:gridCol w:w="113"/>
        <w:gridCol w:w="109"/>
        <w:gridCol w:w="109"/>
        <w:gridCol w:w="109"/>
        <w:gridCol w:w="218"/>
        <w:gridCol w:w="837"/>
        <w:gridCol w:w="122"/>
        <w:gridCol w:w="109"/>
        <w:gridCol w:w="109"/>
        <w:gridCol w:w="109"/>
        <w:gridCol w:w="265"/>
        <w:gridCol w:w="1017"/>
        <w:gridCol w:w="149"/>
        <w:gridCol w:w="109"/>
        <w:gridCol w:w="109"/>
        <w:gridCol w:w="109"/>
        <w:gridCol w:w="286"/>
        <w:gridCol w:w="1098"/>
        <w:gridCol w:w="160"/>
        <w:gridCol w:w="109"/>
        <w:gridCol w:w="109"/>
        <w:gridCol w:w="109"/>
        <w:gridCol w:w="196"/>
        <w:gridCol w:w="736"/>
        <w:gridCol w:w="164"/>
      </w:tblGrid>
      <w:tr>
        <w:trPr/>
        <w:tc>
          <w:tcPr>
            <w:tcW w:w="63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and Six Months Ended June 30, 2025</w:t>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Non-Controlling Interest in Equity of Consolidated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December 31, 2024</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764,381 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(405,818)</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(157,051)</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(127,513)</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75,138 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157,994 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157,994 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income (loss)</w:t>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131,565 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157,994 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(11,401)</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278,158 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equity-based compensation</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warrants</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Manager options</w:t>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on common stock</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and accretion of redeemable preferred stock</w:t>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(21,841)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(21,841)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March 31, 2025</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748,365 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(274,253)</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(139,101)</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337,102 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8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(58,859)</w:t>
            </w:r>
          </w:p>
        </w:tc>
        <w:tc>
          <w:tcPr>
            <w:tcW w:w="12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(11,100)</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(69,959)</w:t>
            </w:r>
          </w:p>
        </w:tc>
        <w:tc>
          <w:tcPr>
            <w:tcW w:w="16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(18,027)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(18,027)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loss</w:t>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(58,859)</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(18,027)</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(11,100)</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(87,986)</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on common stock</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and accretion of redeemable preferred stock</w:t>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June 30, 2025</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724,514 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(333,112)</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(17,084)</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(149,843)</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225,626 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2740"/>
                <wp:effectExtent l="0" t="0" r="0" b="0"/>
                <wp:wrapNone/>
                <wp:docPr id="11" name="Frame1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CONSOLIDATED STATEMENTS OF CASH FLOWS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tbl>
      <w:tblPr>
        <w:tblW w:w="10205" w:type="dxa"/>
        <w:jc w:val="center"/>
        <w:tblInd w:w="0" w:type="dxa"/>
        <w:tblLayout w:type="fixed"/>
        <w:tblCellMar>
          <w:top w:w="28" w:type="dxa"/>
          <w:left w:w="28" w:type="dxa"/>
          <w:bottom w:w="28" w:type="dxa"/>
          <w:right w:w="28" w:type="dxa"/>
        </w:tblCellMar>
      </w:tblPr>
      <w:tblGrid>
        <w:gridCol w:w="2908"/>
        <w:gridCol w:w="2436"/>
        <w:gridCol w:w="2443"/>
        <w:gridCol w:w="196"/>
        <w:gridCol w:w="788"/>
        <w:gridCol w:w="109"/>
        <w:gridCol w:w="109"/>
        <w:gridCol w:w="109"/>
        <w:gridCol w:w="109"/>
        <w:gridCol w:w="196"/>
        <w:gridCol w:w="646"/>
        <w:gridCol w:w="156"/>
      </w:tblGrid>
      <w:tr>
        <w:trPr/>
        <w:tc>
          <w:tcPr>
            <w:tcW w:w="2908"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(266,654)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operating activities:</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(earnings) of unconsolidated entities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subsidiaries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modification or extinguishment of debt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income taxes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financing costs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bond discount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42,839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other comprehensive income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Paid-in-kind interest expense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receivable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assets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payable and accrued liabilities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Derivative liabilities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liabilities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operating activities</w:t>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(30,340)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(90,872)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unconsolidated entities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business, net of cash acquired</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leasing equipment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property, plant and equipment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(148,319)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investor loan</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subsidiaries, net of cash</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deposits for acquisitions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provided by investing activities</w:t>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(178,163)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78,359 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debt,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1,407,376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494,074 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debt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(1,337,217)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financing costs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financing obligation</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financing obligation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 common stock</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 redeemable preferred stock</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 redeemable preferred stock - NCI</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equity-based compensation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financing activities</w:t>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87,202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313,480 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(decrease) increase in cash and cash equivalents and restricted cash and cash equivalents, including cash classified within assets held for sale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(121,301)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300,967 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 net decrease in cash classified within assets held for sale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(decrease) increase in cash and cash equivalents and restricted cash and cash equivalents</w:t>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(153,371)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300,967 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2740"/>
                <wp:effectExtent l="0" t="0" r="0" b="0"/>
                <wp:wrapNone/>
                <wp:docPr id="12" name="Frame1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CONSOLIDATED STATEMENTS OF CASH FLOWS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tbl>
      <w:tblPr>
        <w:tblW w:w="9158" w:type="dxa"/>
        <w:jc w:val="center"/>
        <w:tblInd w:w="0" w:type="dxa"/>
        <w:tblLayout w:type="fixed"/>
        <w:tblCellMar>
          <w:top w:w="28" w:type="dxa"/>
          <w:left w:w="28" w:type="dxa"/>
          <w:bottom w:w="28" w:type="dxa"/>
          <w:right w:w="28" w:type="dxa"/>
        </w:tblCellMar>
      </w:tblPr>
      <w:tblGrid>
        <w:gridCol w:w="2423"/>
        <w:gridCol w:w="2126"/>
        <w:gridCol w:w="2140"/>
        <w:gridCol w:w="196"/>
        <w:gridCol w:w="751"/>
        <w:gridCol w:w="109"/>
        <w:gridCol w:w="109"/>
        <w:gridCol w:w="109"/>
        <w:gridCol w:w="109"/>
        <w:gridCol w:w="196"/>
        <w:gridCol w:w="736"/>
        <w:gridCol w:w="154"/>
      </w:tblGrid>
      <w:tr>
        <w:trPr/>
        <w:tc>
          <w:tcPr>
            <w:tcW w:w="2423"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and restricted cash and cash equivalents, beginning of period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325,946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and restricted cash and cash equivalents,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172,575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448,263 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 of non-cash investing and financing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property, plant and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78,457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business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(285,977)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and accretion of redeemable preferred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and accretion of redeemable preferred stock - NCI</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fees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2740"/>
                <wp:effectExtent l="0" t="0" r="0" b="0"/>
                <wp:wrapNone/>
                <wp:docPr id="13" name="Frame1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1. SUMMARY OF SIGNIFICANT ACCOUNTING POLICIES</w:t>
      </w:r>
    </w:p>
    <w:p>
      <w:pPr>
        <w:pStyle w:val="TextBody"/>
        <w:bidi w:val="0"/>
        <w:spacing w:lineRule="auto" w:line="288" w:before="120" w:after="283"/>
        <w:jc w:val="both"/>
        <w:rPr/>
      </w:pPr>
      <w:r>
        <w:rPr>
          <w:rFonts w:ascii="Arial;sans-serif" w:hAnsi="Arial;sans-serif"/>
          <w:b/>
          <w:i/>
          <w:color w:val="00497F"/>
          <w:sz w:val="18"/>
        </w:rPr>
        <w:t>Basis of Accounting</w:t>
      </w:r>
      <w:r>
        <w:rPr>
          <w:color w:val="00497F"/>
        </w:rPr>
        <w:t>—</w:t>
      </w:r>
      <w:r>
        <w:rPr>
          <w:rFonts w:ascii="Arial;sans-serif" w:hAnsi="Arial;sans-serif"/>
          <w:b w:val="false"/>
          <w:color w:val="000000"/>
          <w:sz w:val="18"/>
        </w:rPr>
        <w:t>The accompanying consolidated financial statements are prepared in accordance with U.S. generally accepted accounting principles (“U.S. GAAP”) and include the accounts of FTAI Infrastructure Inc. (“we”, “us”, “our”, “FTAI Infrastructure” or the “Company”) and our subsidiaries. These financial statements and related notes should be read in conjunction with the Consolidated Financial Statements and related notes included in the Company’s Annual Report on Form 10-K for the year ended December 31, 2025.</w:t>
      </w:r>
    </w:p>
    <w:p>
      <w:pPr>
        <w:pStyle w:val="TextBody"/>
        <w:bidi w:val="0"/>
        <w:spacing w:lineRule="auto" w:line="288" w:before="120" w:after="283"/>
        <w:jc w:val="both"/>
        <w:rPr/>
      </w:pPr>
      <w:r>
        <w:rPr>
          <w:rFonts w:ascii="Arial;sans-serif" w:hAnsi="Arial;sans-serif"/>
          <w:b/>
          <w:i/>
          <w:color w:val="00497F"/>
          <w:sz w:val="18"/>
        </w:rPr>
        <w:t>Principles of Consolidation</w:t>
      </w:r>
      <w:r>
        <w:rPr>
          <w:color w:val="00497F"/>
        </w:rPr>
        <w:t>—</w:t>
      </w:r>
      <w:r>
        <w:rPr>
          <w:rFonts w:ascii="Arial;sans-serif" w:hAnsi="Arial;sans-serif"/>
          <w:b w:val="false"/>
          <w:color w:val="000000"/>
          <w:sz w:val="18"/>
        </w:rPr>
        <w:t>We consolidate all entities in which we have a controlling financial interest and control over significant operating decisions, as 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pStyle w:val="TextBody"/>
        <w:bidi w:val="0"/>
        <w:spacing w:lineRule="auto" w:line="288" w:before="120" w:after="283"/>
        <w:jc w:val="both"/>
        <w:rPr/>
      </w:pPr>
      <w:r>
        <w:rPr>
          <w:rFonts w:ascii="Arial;sans-serif" w:hAnsi="Arial;sans-serif"/>
          <w:b/>
          <w:i/>
          <w:color w:val="00497F"/>
          <w:sz w:val="18"/>
        </w:rPr>
        <w:t>Use of Estimates</w:t>
      </w:r>
      <w:r>
        <w:rPr>
          <w:color w:val="00497F"/>
        </w:rPr>
        <w:t>—</w:t>
      </w:r>
      <w:r>
        <w:rPr>
          <w:rFonts w:ascii="Arial;sans-serif" w:hAnsi="Arial;sans-serif"/>
          <w:b w:val="false"/>
          <w:color w:val="000000"/>
          <w:sz w:val="18"/>
        </w:rPr>
        <w:t>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lineRule="auto" w:line="288" w:before="120" w:after="283"/>
        <w:jc w:val="both"/>
        <w:rPr/>
      </w:pPr>
      <w:r>
        <w:rPr>
          <w:rFonts w:ascii="Arial;sans-serif" w:hAnsi="Arial;sans-serif"/>
          <w:b/>
          <w:i/>
          <w:color w:val="00497F"/>
          <w:sz w:val="18"/>
        </w:rPr>
        <w:t>Risks and Uncertainties</w:t>
      </w:r>
      <w:r>
        <w:rPr>
          <w:color w:val="00497F"/>
        </w:rPr>
        <w:t>—</w:t>
      </w:r>
      <w:r>
        <w:rPr>
          <w:rFonts w:ascii="Arial;sans-serif" w:hAnsi="Arial;sans-serif"/>
          <w:b w:val="false"/>
          <w:color w:val="000000"/>
          <w:sz w:val="18"/>
        </w:rPr>
        <w:t>In the normal course of business, we encounter several significant types of economic risk including credit, market, and capital 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Capital market risk is the risk that we are unable to obtain capital at reasonable rates to fund the growth of our business or to refinance existing debt facilities. We do not have significant exposure to foreign currency risk as all of our leasing and revenue arrangements are denominated in U.S. dollars.</w:t>
      </w:r>
    </w:p>
    <w:p>
      <w:pPr>
        <w:pStyle w:val="TextBody"/>
        <w:bidi w:val="0"/>
        <w:spacing w:lineRule="auto" w:line="288" w:before="120" w:after="283"/>
        <w:jc w:val="both"/>
        <w:rPr/>
      </w:pPr>
      <w:r>
        <w:rPr>
          <w:rFonts w:ascii="Arial;sans-serif" w:hAnsi="Arial;sans-serif"/>
          <w:b/>
          <w:i/>
          <w:color w:val="00497F"/>
          <w:sz w:val="18"/>
        </w:rPr>
        <w:t>Liquidity</w:t>
      </w:r>
      <w:r>
        <w:rPr>
          <w:color w:val="000000"/>
        </w:rPr>
        <w:t>—</w:t>
      </w:r>
      <w:r>
        <w:rPr>
          <w:rFonts w:ascii="Arial;sans-serif" w:hAnsi="Arial;sans-serif"/>
          <w:b w:val="false"/>
          <w:color w:val="000000"/>
          <w:sz w:val="18"/>
        </w:rPr>
        <w:t>Subsequent to the second quarter of 2026, we have paid down the Jefferson Taxable Series 2024B Bonds with the Jefferson Bridge Loan Credit Agreement (see Note 18 for additional details), which will mature on June 30, 2027. The expected closing of the sale of Long Ridge will further improve the Company’s liquidity position and reduce our total debt (see Note 2 for additional details). The Company has significant remaining debt obligations, which it continues to actively manage. Sources of liquidity on hand and cash flows from operations are not expected to be sufficient to satisfy the Bridge Credit Agreement as it matures. However, management’s planned actions, including the sale of Long Ridge and refinancing the Jefferson Bridge Loan Credit Agreement, are considered probable to be implemented and to provide sufficient liquidity for the Company to meet its obligations as they become due over the twelve months from the date the financial statements were issued. In assessing whether it was probable the Company will refinance its credit facilities on or prior to their respective maturity dates, the Company performed a comprehensive assessment including factors such as: current debt market conditions; the Company’s credit worthiness based upon current and expected financial performance and leverage levels; comparable lending transactions; the Company’s historical ability to obtain financing; discussions with the Company’s existing lenders; and continuing favorable lending relationships. There can be no assurance that financing will be obtained at terms more favorable than the existing Jefferson Bridge Loan Credit Agreement.</w:t>
      </w:r>
    </w:p>
    <w:p>
      <w:pPr>
        <w:pStyle w:val="TextBody"/>
        <w:bidi w:val="0"/>
        <w:spacing w:lineRule="auto" w:line="288" w:before="120" w:after="283"/>
        <w:jc w:val="both"/>
        <w:rPr/>
      </w:pPr>
      <w:r>
        <w:rPr>
          <w:rFonts w:ascii="Arial;sans-serif" w:hAnsi="Arial;sans-serif"/>
          <w:b/>
          <w:i/>
          <w:color w:val="00497F"/>
          <w:sz w:val="18"/>
        </w:rPr>
        <w:t>Held For Sale Classification</w:t>
      </w:r>
      <w:r>
        <w:rPr>
          <w:color w:val="000000"/>
        </w:rPr>
        <w:t>—</w:t>
      </w:r>
      <w:r>
        <w:rPr>
          <w:rFonts w:ascii="Arial;sans-serif" w:hAnsi="Arial;sans-serif"/>
          <w:b w:val="false"/>
          <w:color w:val="000000"/>
          <w:sz w:val="18"/>
        </w:rPr>
        <w:t>We report and classify a business or a component of an entity as held-for-sale (“Held-For-Sale Business”) when management has approved the sale or received approval to sell the business and is committed to a formal plan, the business is available for immediate sale, the business is being actively marketed, the sale is anticipated to occur during the next 12 months and certain other specified criteria are met. A Held-For-Sale Business is recorded at the lower of its carrying amount or estimated fair value less cost to sell. If the carrying amount of the business exceeds its estimated fair value less costs to sell, a loss is recognized. As of the date an entity is classified as held-for-sale, depreciation and depletion on property, plant and equipment ceases. As of June 30, 2026, assets and liabilities related to a Held-For-Sale Business are reported in Assets held for sale and Liabilities held for sale, respectively, in our Consolidated Balance Sheet. Refer to Note 2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2740"/>
                <wp:effectExtent l="0" t="0" r="0" b="0"/>
                <wp:wrapNone/>
                <wp:docPr id="14" name="Frame1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i/>
          <w:color w:val="00497F"/>
          <w:sz w:val="18"/>
        </w:rPr>
        <w:t>Other Current Assets</w:t>
      </w:r>
      <w:r>
        <w:rPr>
          <w:color w:val="00497F"/>
        </w:rPr>
        <w:t>—</w:t>
      </w:r>
      <w:r>
        <w:rPr>
          <w:rFonts w:ascii="Arial;sans-serif" w:hAnsi="Arial;sans-serif"/>
          <w:b w:val="false"/>
          <w:color w:val="000000"/>
          <w:sz w:val="18"/>
        </w:rPr>
        <w:t>Other current assets is comprised of:</w:t>
      </w:r>
    </w:p>
    <w:tbl>
      <w:tblPr>
        <w:tblW w:w="5275" w:type="dxa"/>
        <w:jc w:val="left"/>
        <w:tblInd w:w="0" w:type="dxa"/>
        <w:tblLayout w:type="fixed"/>
        <w:tblCellMar>
          <w:top w:w="28" w:type="dxa"/>
          <w:left w:w="28" w:type="dxa"/>
          <w:bottom w:w="28" w:type="dxa"/>
          <w:right w:w="28" w:type="dxa"/>
        </w:tblCellMar>
      </w:tblPr>
      <w:tblGrid>
        <w:gridCol w:w="781"/>
        <w:gridCol w:w="687"/>
        <w:gridCol w:w="691"/>
        <w:gridCol w:w="237"/>
        <w:gridCol w:w="801"/>
        <w:gridCol w:w="132"/>
        <w:gridCol w:w="109"/>
        <w:gridCol w:w="109"/>
        <w:gridCol w:w="109"/>
        <w:gridCol w:w="318"/>
        <w:gridCol w:w="1050"/>
        <w:gridCol w:w="251"/>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December 31, 2025</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Notes receivable</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13,605 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Prepaid expenses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16,107</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deposits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receivables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16,533</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909</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14,951</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12,996 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other current assets</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48,500</w:t>
            </w:r>
            <w:r>
              <w:rPr>
                <w:color w:val="000000"/>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62,677 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i/>
          <w:color w:val="00497F"/>
          <w:sz w:val="18"/>
        </w:rPr>
        <w:t>Other Current Liabilities</w:t>
      </w:r>
      <w:r>
        <w:rPr>
          <w:color w:val="000000"/>
        </w:rPr>
        <w:t>—</w:t>
      </w:r>
      <w:r>
        <w:rPr>
          <w:rFonts w:ascii="Arial;sans-serif" w:hAnsi="Arial;sans-serif"/>
          <w:b w:val="false"/>
          <w:color w:val="000000"/>
          <w:sz w:val="18"/>
        </w:rPr>
        <w:t>Other current liabilities primarily include insurance premium liabilities of $5.8 million and $2.7 million and deferred revenue of $10.9 million and $11.5 million as of June 30, 2026 and December 31, 2025, respectively.</w:t>
      </w:r>
    </w:p>
    <w:p>
      <w:pPr>
        <w:pStyle w:val="TextBody"/>
        <w:bidi w:val="0"/>
        <w:spacing w:lineRule="auto" w:line="288" w:before="120" w:after="283"/>
        <w:jc w:val="both"/>
        <w:rPr/>
      </w:pPr>
      <w:r>
        <w:rPr>
          <w:rFonts w:ascii="Arial;sans-serif" w:hAnsi="Arial;sans-serif"/>
          <w:b/>
          <w:i/>
          <w:color w:val="00497F"/>
          <w:sz w:val="18"/>
        </w:rPr>
        <w:t>Other Liabilities</w:t>
      </w:r>
      <w:r>
        <w:rPr>
          <w:color w:val="000000"/>
        </w:rPr>
        <w:t>—</w:t>
      </w:r>
      <w:r>
        <w:rPr>
          <w:rFonts w:ascii="Arial;sans-serif" w:hAnsi="Arial;sans-serif"/>
          <w:b w:val="false"/>
          <w:color w:val="000000"/>
          <w:sz w:val="18"/>
        </w:rPr>
        <w:t>Other liabilities primarily includes a $46.8 million financing obligation that The Wheeling Corporation (“Wheeling”) entered into in January 2026 with Bank of Montreal to finance the lease of 400 railcars as of June 30, 2026. This transaction was a sale-leaseback in legal form that is treated as a financing obligation for accounting purposes.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obtained an additional financing obligation through our acquisition of Tidewater. As of June 30, 2026, the financing obligation included in Other liabilities is $26.5 million. This transaction was a sale-leaseback for the previous owner in legal form that is treated as a financing obligation for accounting purposes.</w:t>
      </w:r>
    </w:p>
    <w:p>
      <w:pPr>
        <w:pStyle w:val="TextBody"/>
        <w:bidi w:val="0"/>
        <w:spacing w:lineRule="auto" w:line="288" w:before="120" w:after="283"/>
        <w:jc w:val="both"/>
        <w:rPr/>
      </w:pPr>
      <w:r>
        <w:rPr>
          <w:rFonts w:ascii="Arial;sans-serif" w:hAnsi="Arial;sans-serif"/>
          <w:b/>
          <w:i/>
          <w:color w:val="00497F"/>
          <w:sz w:val="18"/>
        </w:rPr>
        <w:t>Deferred Financing Costs</w:t>
      </w:r>
      <w:r>
        <w:rPr>
          <w:color w:val="00497F"/>
        </w:rPr>
        <w:t>—</w:t>
      </w:r>
      <w:r>
        <w:rPr>
          <w:rFonts w:ascii="Arial;sans-serif" w:hAnsi="Arial;sans-serif"/>
          <w:b w:val="false"/>
          <w:color w:val="000000"/>
          <w:sz w:val="18"/>
        </w:rPr>
        <w:t>Costs incurred in connection with obtaining long-term financing are capitalized and amortized to interest expense over the term of the underlying loans. Unamortized deferred financing costs of $23.9 million and $21.9 million as of June 30, 2026 and December 31, 2025, respectively, are included in Debt, net in the Consolidated Balance Sheets.</w:t>
      </w:r>
    </w:p>
    <w:p>
      <w:pPr>
        <w:pStyle w:val="TextBody"/>
        <w:bidi w:val="0"/>
        <w:spacing w:lineRule="auto" w:line="288" w:before="120" w:after="283"/>
        <w:jc w:val="both"/>
        <w:rPr/>
      </w:pPr>
      <w:r>
        <w:rPr>
          <w:rFonts w:ascii="Arial;sans-serif" w:hAnsi="Arial;sans-serif"/>
          <w:b w:val="false"/>
          <w:color w:val="000000"/>
          <w:sz w:val="18"/>
        </w:rPr>
        <w:t>Amortization expense was $3.3 million and $2.3 million during the three months ended</w:t>
      </w:r>
      <w:r>
        <w:rPr>
          <w:color w:val="000000"/>
        </w:rPr>
        <w:t xml:space="preserve"> </w:t>
      </w:r>
      <w:r>
        <w:rPr>
          <w:rFonts w:ascii="Arial;sans-serif" w:hAnsi="Arial;sans-serif"/>
          <w:b w:val="false"/>
          <w:color w:val="000000"/>
          <w:sz w:val="18"/>
        </w:rPr>
        <w:t>June 30, 2026 and 2025, respectively, and $7.2 million and $5.2 million during the six months ended</w:t>
      </w:r>
      <w:r>
        <w:rPr>
          <w:color w:val="000000"/>
        </w:rPr>
        <w:t xml:space="preserve"> </w:t>
      </w:r>
      <w:r>
        <w:rPr>
          <w:rFonts w:ascii="Arial;sans-serif" w:hAnsi="Arial;sans-serif"/>
          <w:b w:val="false"/>
          <w:color w:val="000000"/>
          <w:sz w:val="18"/>
        </w:rPr>
        <w:t>June 30, 2026 and 2025, respectively, and is included in Interest expense in the Consolidated Statements of Operations.</w:t>
      </w:r>
    </w:p>
    <w:p>
      <w:pPr>
        <w:pStyle w:val="TextBody"/>
        <w:bidi w:val="0"/>
        <w:spacing w:lineRule="auto" w:line="288" w:before="120" w:after="283"/>
        <w:jc w:val="both"/>
        <w:rPr/>
      </w:pPr>
      <w:r>
        <w:rPr>
          <w:rFonts w:ascii="Arial;sans-serif" w:hAnsi="Arial;sans-serif"/>
          <w:b/>
          <w:i/>
          <w:color w:val="00497F"/>
          <w:sz w:val="18"/>
        </w:rPr>
        <w:t>Concentration of Credit Risk</w:t>
      </w:r>
      <w:r>
        <w:rPr>
          <w:color w:val="00497F"/>
        </w:rPr>
        <w:t>—</w:t>
      </w:r>
      <w:r>
        <w:rPr>
          <w:rFonts w:ascii="Arial;sans-serif" w:hAnsi="Arial;sans-serif"/>
          <w:b w:val="false"/>
          <w:color w:val="000000"/>
          <w:sz w:val="18"/>
        </w:rPr>
        <w:t>We are subject to concentrations of credit risk with respect to amounts due from customers. We attempt to limit our credit risk by performing ongoing credit evaluations. We earned approximately 23% of total revenues for both the three and six months ended June 30, 2026 from one customer in the Railroad segment. Additionally, we earned approximately 8% of total revenues for both the three and six months ended June 30, 2026 from one customer in the Jefferson Terminal segment. We earned approximately 32% and 36%, respectively, of total revenues for the three and six months ended June 30, 2025 from one customer in the Railroad segment. We earned approximately 11% of total revenues for both the three and six months ended June 30, 2025 from one customer in the Jefferson Terminal segment.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accounts receivable from two customers within the Jefferson Terminal and Railroad segments represented 33% of total accounts receivable, net. As of December 31, 2025, accounts receivable from three customers within the Jefferson Terminal and Railroad segments represented 41% of total accounts receivable, net.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2740"/>
                <wp:effectExtent l="0" t="0" r="0" b="0"/>
                <wp:wrapNone/>
                <wp:docPr id="15" name="Frame1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Accumulated Other Comprehensive Loss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Components of accumulated other comprehensive (loss) income at June 30, 2026 are as follows:</w:t>
      </w:r>
    </w:p>
    <w:tbl>
      <w:tblPr>
        <w:tblW w:w="10205" w:type="dxa"/>
        <w:jc w:val="left"/>
        <w:tblInd w:w="0" w:type="dxa"/>
        <w:tblLayout w:type="fixed"/>
        <w:tblCellMar>
          <w:top w:w="28" w:type="dxa"/>
          <w:left w:w="28" w:type="dxa"/>
          <w:bottom w:w="28" w:type="dxa"/>
          <w:right w:w="28" w:type="dxa"/>
        </w:tblCellMar>
      </w:tblPr>
      <w:tblGrid>
        <w:gridCol w:w="1504"/>
        <w:gridCol w:w="1321"/>
        <w:gridCol w:w="1327"/>
        <w:gridCol w:w="196"/>
        <w:gridCol w:w="790"/>
        <w:gridCol w:w="109"/>
        <w:gridCol w:w="109"/>
        <w:gridCol w:w="109"/>
        <w:gridCol w:w="109"/>
        <w:gridCol w:w="639"/>
        <w:gridCol w:w="2163"/>
        <w:gridCol w:w="359"/>
        <w:gridCol w:w="109"/>
        <w:gridCol w:w="109"/>
        <w:gridCol w:w="109"/>
        <w:gridCol w:w="196"/>
        <w:gridCol w:w="790"/>
        <w:gridCol w:w="157"/>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and Six Months Ended June 30, 2026</w:t>
            </w:r>
          </w:p>
        </w:tc>
      </w:tr>
      <w:tr>
        <w:trPr/>
        <w:tc>
          <w:tcPr>
            <w:tcW w:w="4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and other postretirement benefit accounts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Accumulated other comprehensive (loss) income - December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1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21,578 </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(90,618)</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before reclassification</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(12,106)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income (loss)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(531)</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15,429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current period other comprehensive income (loss), net of tax</w:t>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(531)</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3,323</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(loss) income - March 31, 2026</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(108,342)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1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21,047</w:t>
            </w:r>
            <w:r>
              <w:rPr>
                <w:color w:val="000000"/>
              </w:rPr>
              <w:t> </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(87,295)</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before reclassification</w:t>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(47,488)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(47,488)</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income (loss)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(487)</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4,244</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current period other comprehensive loss, net of tax</w:t>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(42,757)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(487)</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(43,244)</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(loss) income - June 30, 2026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(151,099)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20,560</w:t>
            </w:r>
            <w:r>
              <w:rPr>
                <w:color w:val="000000"/>
              </w:rPr>
              <w:t> </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(130,539)</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Components of accumulated other comprehensive (loss) income at June 30, 2025 are as follows:</w:t>
      </w:r>
    </w:p>
    <w:tbl>
      <w:tblPr>
        <w:tblW w:w="10205" w:type="dxa"/>
        <w:jc w:val="left"/>
        <w:tblInd w:w="0" w:type="dxa"/>
        <w:tblLayout w:type="fixed"/>
        <w:tblCellMar>
          <w:top w:w="28" w:type="dxa"/>
          <w:left w:w="28" w:type="dxa"/>
          <w:bottom w:w="28" w:type="dxa"/>
          <w:right w:w="28" w:type="dxa"/>
        </w:tblCellMar>
      </w:tblPr>
      <w:tblGrid>
        <w:gridCol w:w="1069"/>
        <w:gridCol w:w="941"/>
        <w:gridCol w:w="944"/>
        <w:gridCol w:w="109"/>
        <w:gridCol w:w="109"/>
        <w:gridCol w:w="109"/>
        <w:gridCol w:w="196"/>
        <w:gridCol w:w="690"/>
        <w:gridCol w:w="109"/>
        <w:gridCol w:w="109"/>
        <w:gridCol w:w="109"/>
        <w:gridCol w:w="109"/>
        <w:gridCol w:w="255"/>
        <w:gridCol w:w="1020"/>
        <w:gridCol w:w="141"/>
        <w:gridCol w:w="109"/>
        <w:gridCol w:w="109"/>
        <w:gridCol w:w="109"/>
        <w:gridCol w:w="493"/>
        <w:gridCol w:w="1631"/>
        <w:gridCol w:w="278"/>
        <w:gridCol w:w="109"/>
        <w:gridCol w:w="109"/>
        <w:gridCol w:w="109"/>
        <w:gridCol w:w="196"/>
        <w:gridCol w:w="774"/>
        <w:gridCol w:w="160"/>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and Six Months Ended June 30, 2025</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method investee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and other postretirement benefit accounts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 income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(182,983)</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25,932 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(157,051)</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before reclassification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183,616 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current period other comprehensive (loss)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182,983 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157,994 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 income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25,374 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before reclassification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(16,124)</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current period 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(18,027)</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 income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24,815 </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(17,084)</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2. ACQUISITIONS AND DIVESTITURES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Acquisition of Long Ridge Energy &amp; Power LLC</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February 26, 2025, the Company entered into a purchase agreement with certain affiliates of GCM Grosvenor Inc. (“GCM”), owner of 49.9% of the limited liability company interests of Long Ridge Energy &amp; Power LLC, to acquire GCM’s 49.9% interest. This transaction resulted in a controlling 100% ownership in Long Ridge Energy &amp; Power LLC. Long Ridge Energy &amp; Power LLC operates within the Power and Gas reportable segment. See Note 14 for additional information.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Prior to obtaining a controlling interest in Long Ridge, the Company accounted for its 50.1% investment as an equity method investment. In accordance with accounting for a step acquisition, the Company recognized a gain of $120.0 million, which was included in (Loss) gain on sale of assets, net in the Consolidated Statements of Operations. There was also an income tax benefit of $9.2 million recorded as part of Accumulated other comprehensive loss in the Consolidated Balance Sheets that was reclassified to (Benefit from) provision for income taxes in the Consolidated Statements of Operations.</w:t>
      </w:r>
    </w:p>
    <w:p>
      <w:pPr>
        <w:pStyle w:val="TextBody"/>
        <w:bidi w:val="0"/>
        <w:spacing w:lineRule="auto" w:line="288" w:before="120" w:after="283"/>
        <w:jc w:val="both"/>
        <w:rPr/>
      </w:pPr>
      <w:r>
        <w:rPr>
          <w:rFonts w:ascii="Arial;sans-serif" w:hAnsi="Arial;sans-serif"/>
          <w:b w:val="false"/>
          <w:color w:val="000000"/>
          <w:sz w:val="18"/>
        </w:rPr>
        <w:t xml:space="preserve">In accordance with ASC 805, </w:t>
      </w:r>
      <w:r>
        <w:rPr>
          <w:rFonts w:ascii="Arial;sans-serif" w:hAnsi="Arial;sans-serif"/>
          <w:b w:val="false"/>
          <w:i/>
          <w:color w:val="000000"/>
          <w:sz w:val="18"/>
        </w:rPr>
        <w:t>Business Combinations</w:t>
      </w:r>
      <w:r>
        <w:rPr>
          <w:rFonts w:ascii="Arial;sans-serif" w:hAnsi="Arial;sans-serif"/>
          <w:b w:val="false"/>
          <w:color w:val="000000"/>
          <w:sz w:val="18"/>
        </w:rPr>
        <w:t>, the following fair values assigned to underlying assets acquired and liabilities assumed are based on management’s estimates and assumptions. The assumptions used to estimate the fair value of proved developed and unproved gas properties, as well as the power generation plant included forecasted revenue growth rates, discount rates, projected capacity factors and projected net gas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2740"/>
                <wp:effectExtent l="0" t="0" r="0" b="0"/>
                <wp:wrapNone/>
                <wp:docPr id="16" name="Frame1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summarizes the allocation of the purchase price, as presented in our Consolidated Balance Sheet:</w:t>
      </w:r>
    </w:p>
    <w:tbl>
      <w:tblPr>
        <w:tblW w:w="4544" w:type="dxa"/>
        <w:jc w:val="left"/>
        <w:tblInd w:w="0" w:type="dxa"/>
        <w:tblLayout w:type="fixed"/>
        <w:tblCellMar>
          <w:top w:w="28" w:type="dxa"/>
          <w:left w:w="28" w:type="dxa"/>
          <w:bottom w:w="28" w:type="dxa"/>
          <w:right w:w="28" w:type="dxa"/>
        </w:tblCellMar>
      </w:tblPr>
      <w:tblGrid>
        <w:gridCol w:w="1092"/>
        <w:gridCol w:w="959"/>
        <w:gridCol w:w="963"/>
        <w:gridCol w:w="276"/>
        <w:gridCol w:w="1037"/>
        <w:gridCol w:w="217"/>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February 26, 2025</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Fair value of assets acquired:</w:t>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218,422 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1,516,873 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 acquired</w:t>
            </w:r>
          </w:p>
        </w:tc>
        <w:tc>
          <w:tcPr>
            <w:tcW w:w="13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1,777,719 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Fair value of liabilities assumed:</w:t>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54,699 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1,115,200 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197,795 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assumed</w:t>
            </w:r>
          </w:p>
        </w:tc>
        <w:tc>
          <w:tcPr>
            <w:tcW w:w="13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1,383,322 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Goodwill </w:t>
            </w:r>
            <w:r>
              <w:rPr>
                <w:rFonts w:ascii="Arial;sans-serif" w:hAnsi="Arial;sans-serif"/>
                <w:b w:val="false"/>
                <w:color w:val="000000"/>
                <w:sz w:val="10"/>
              </w:rPr>
              <w:t>(1)</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90,337 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purchase consideration</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484,734 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6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This goodwill is assigned to the Power and Gas segment and is not tax deductible for income tax purposes.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the estimated fair value of the identifiable intangible assets and their estimated useful lives:</w:t>
      </w:r>
    </w:p>
    <w:tbl>
      <w:tblPr>
        <w:tblW w:w="5426" w:type="dxa"/>
        <w:jc w:val="left"/>
        <w:tblInd w:w="0" w:type="dxa"/>
        <w:tblLayout w:type="fixed"/>
        <w:tblCellMar>
          <w:top w:w="28" w:type="dxa"/>
          <w:left w:w="28" w:type="dxa"/>
          <w:bottom w:w="28" w:type="dxa"/>
          <w:right w:w="28" w:type="dxa"/>
        </w:tblCellMar>
      </w:tblPr>
      <w:tblGrid>
        <w:gridCol w:w="651"/>
        <w:gridCol w:w="573"/>
        <w:gridCol w:w="575"/>
        <w:gridCol w:w="794"/>
        <w:gridCol w:w="794"/>
        <w:gridCol w:w="797"/>
        <w:gridCol w:w="109"/>
        <w:gridCol w:w="109"/>
        <w:gridCol w:w="109"/>
        <w:gridCol w:w="198"/>
        <w:gridCol w:w="562"/>
        <w:gridCol w:w="155"/>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23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presents the estimated fair value of the property, plant and equipment and their estimated remaining useful lives:</w:t>
      </w:r>
    </w:p>
    <w:tbl>
      <w:tblPr>
        <w:tblW w:w="7142" w:type="dxa"/>
        <w:jc w:val="left"/>
        <w:tblInd w:w="0" w:type="dxa"/>
        <w:tblLayout w:type="fixed"/>
        <w:tblCellMar>
          <w:top w:w="28" w:type="dxa"/>
          <w:left w:w="28" w:type="dxa"/>
          <w:bottom w:w="28" w:type="dxa"/>
          <w:right w:w="28" w:type="dxa"/>
        </w:tblCellMar>
      </w:tblPr>
      <w:tblGrid>
        <w:gridCol w:w="859"/>
        <w:gridCol w:w="752"/>
        <w:gridCol w:w="758"/>
        <w:gridCol w:w="1074"/>
        <w:gridCol w:w="1074"/>
        <w:gridCol w:w="1077"/>
        <w:gridCol w:w="109"/>
        <w:gridCol w:w="109"/>
        <w:gridCol w:w="109"/>
        <w:gridCol w:w="196"/>
        <w:gridCol w:w="871"/>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remaining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in progress</w:t>
            </w:r>
          </w:p>
        </w:tc>
        <w:tc>
          <w:tcPr>
            <w:tcW w:w="32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Unproved properties</w:t>
            </w:r>
          </w:p>
        </w:tc>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Proved developed properties</w:t>
            </w:r>
          </w:p>
        </w:tc>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Power generation</w:t>
            </w:r>
          </w:p>
        </w:tc>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12 - 37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Computer software</w:t>
            </w:r>
          </w:p>
        </w:tc>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and improvements</w:t>
            </w:r>
          </w:p>
        </w:tc>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Buildings</w:t>
            </w:r>
          </w:p>
        </w:tc>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10 - 39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Machinery &amp; equipment</w:t>
            </w:r>
          </w:p>
        </w:tc>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2 - 37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Track and track related assets</w:t>
            </w:r>
          </w:p>
        </w:tc>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8 - 34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Vehicles</w:t>
            </w:r>
          </w:p>
        </w:tc>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2 - 3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1,516,873 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unaudited financial information in the table below summarizes the combined results of operations of FTAI Infrastructure and Long Ridge Energy &amp; Power LLC on a pro forma basis, as though the companies had been combined as of January 1, 2024. These pro forma results were based on estimates and assumptions which we believe are reasonable. The pro forma adjustments are primarily comprised of the following:</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allocation of the purchase price and related adjustments, including adjustments to depreciation and amortization expense related to the fair value of property, plant and equipment and intangible assets acquired;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Elimination of intercompany transactions between consolidated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2740"/>
                <wp:effectExtent l="0" t="0" r="0" b="0"/>
                <wp:wrapNone/>
                <wp:docPr id="17" name="Frame1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Impacts of debt assumed, including interest for debt issued, removal of interest for eliminated debt and removal of eliminated amortization of deferred financing costs;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Associated tax-related impacts of adjustments.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pro forma financial information is presented for informational purposes only and is not indicative of the results of operations that would have been achieved if the acquisition had taken place as of January 1, 2024.</w:t>
      </w:r>
    </w:p>
    <w:tbl>
      <w:tblPr>
        <w:tblW w:w="9732" w:type="dxa"/>
        <w:jc w:val="left"/>
        <w:tblInd w:w="0" w:type="dxa"/>
        <w:tblLayout w:type="fixed"/>
        <w:tblCellMar>
          <w:top w:w="28" w:type="dxa"/>
          <w:left w:w="28" w:type="dxa"/>
          <w:bottom w:w="28" w:type="dxa"/>
          <w:right w:w="28" w:type="dxa"/>
        </w:tblCellMar>
      </w:tblPr>
      <w:tblGrid>
        <w:gridCol w:w="1233"/>
        <w:gridCol w:w="1081"/>
        <w:gridCol w:w="1090"/>
        <w:gridCol w:w="109"/>
        <w:gridCol w:w="109"/>
        <w:gridCol w:w="539"/>
        <w:gridCol w:w="2026"/>
        <w:gridCol w:w="300"/>
        <w:gridCol w:w="109"/>
        <w:gridCol w:w="109"/>
        <w:gridCol w:w="109"/>
        <w:gridCol w:w="109"/>
        <w:gridCol w:w="109"/>
        <w:gridCol w:w="487"/>
        <w:gridCol w:w="1830"/>
        <w:gridCol w:w="383"/>
      </w:tblGrid>
      <w:tr>
        <w:trPr/>
        <w:tc>
          <w:tcPr>
            <w:tcW w:w="1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122,286 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271,806 </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(79,115)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(119,127)</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Sale of Long Ridge Energy &amp; Power LLC</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April 29, 2026, Ohio River Partners Holdco LLC (“ORPH”), a Delaware limited liability company and a direct wholly-owned subsidiary of FTAI Infrastructure, Ohio River Partners Finance LLC, a Delaware limited liability company and a direct wholly-owned subsidiary of ORPH (together with ORPH, “Sellers”), and, solely for the purposes specified, FTAI Infrastructure entered into an equity purchase agreement (the “Agreement”) with MARA USA Corporation (“Buyer”), a Delaware corporation and a direct wholly-owned subsidiary of MARA Holdings, Inc. (“Buyer Parent”), and, solely for the purposes specified, Buyer Parent, pursuant to which, among other things, upon the terms and subject to the conditions set forth in the Agreement, Buyer will purchase all of the issued and outstanding membership interests of Long Ridge Energy &amp; Power LLC, a Delaware limited liability company and an indirect wholly-owned subsidiary of FTAI Infrastructure, from Sellers, for a base purchase price of $1.52 billion, subject to certain customary adjustments set forth in the Agreement. The consummation of the sale is subject to regulatory approvals from the Federal Energy Regulatory Commission under Section 203 of the Federal Power Act; however, this approval is considered customary and probable to occur within 12 months of the signing of the Agreement and, therefore, we will account for Long Ridge Energy &amp; Power LLC as a held-for-sale business as of the date of the Agreement through regulatory approval and closing of the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2740"/>
                <wp:effectExtent l="0" t="0" r="0" b="0"/>
                <wp:wrapNone/>
                <wp:docPr id="18" name="Frame1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summarizes the components of assets and liabilities held-for-sale on the Consolidated Balance Sheets as of June 30, 2026:</w:t>
      </w:r>
    </w:p>
    <w:tbl>
      <w:tblPr>
        <w:tblW w:w="4859" w:type="dxa"/>
        <w:jc w:val="left"/>
        <w:tblInd w:w="0" w:type="dxa"/>
        <w:tblLayout w:type="fixed"/>
        <w:tblCellMar>
          <w:top w:w="28" w:type="dxa"/>
          <w:left w:w="28" w:type="dxa"/>
          <w:bottom w:w="28" w:type="dxa"/>
          <w:right w:w="28" w:type="dxa"/>
        </w:tblCellMar>
      </w:tblPr>
      <w:tblGrid>
        <w:gridCol w:w="1230"/>
        <w:gridCol w:w="1080"/>
        <w:gridCol w:w="1095"/>
        <w:gridCol w:w="196"/>
        <w:gridCol w:w="886"/>
        <w:gridCol w:w="109"/>
        <w:gridCol w:w="109"/>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cash equivalents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 held for sale</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1,561,814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Valuation allowance on assets held for sale </w:t>
            </w:r>
            <w:r>
              <w:rPr>
                <w:rFonts w:ascii="Arial;sans-serif" w:hAnsi="Arial;sans-serif"/>
                <w:b w:val="false"/>
                <w:color w:val="000000"/>
                <w:sz w:val="10"/>
              </w:rPr>
              <w:t>(1)</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non-current assets held for sale</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1,600,457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 held for sale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1,657,390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71,996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449,185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58,338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 held for sale</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579,713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715,200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non-current liabilities held for sale</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911,169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held for sale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1,490,882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The valuation allowance on assets held for sale for $60.4 million was recorded as Asset impairment in the Company’s Consolidated Statement of Operations for the three and six months ended June 30, 2026.</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the amounts related to the operations of Long Ridge Energy &amp; Power LLC that have been reflected in net loss on the Consolidated Statements of Operations:</w:t>
      </w:r>
    </w:p>
    <w:tbl>
      <w:tblPr>
        <w:tblW w:w="10205" w:type="dxa"/>
        <w:jc w:val="left"/>
        <w:tblInd w:w="0" w:type="dxa"/>
        <w:tblLayout w:type="fixed"/>
        <w:tblCellMar>
          <w:top w:w="28" w:type="dxa"/>
          <w:left w:w="28" w:type="dxa"/>
          <w:bottom w:w="28" w:type="dxa"/>
          <w:right w:w="28" w:type="dxa"/>
        </w:tblCellMar>
      </w:tblPr>
      <w:tblGrid>
        <w:gridCol w:w="1814"/>
        <w:gridCol w:w="1530"/>
        <w:gridCol w:w="1545"/>
        <w:gridCol w:w="490"/>
        <w:gridCol w:w="1796"/>
        <w:gridCol w:w="272"/>
        <w:gridCol w:w="109"/>
        <w:gridCol w:w="109"/>
        <w:gridCol w:w="109"/>
        <w:gridCol w:w="446"/>
        <w:gridCol w:w="1631"/>
        <w:gridCol w:w="354"/>
      </w:tblGrid>
      <w:tr>
        <w:trPr/>
        <w:tc>
          <w:tcPr>
            <w:tcW w:w="181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income before income taxes</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(68,397)</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(75,035)</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attributable to common stockholders before income taxes</w:t>
            </w:r>
          </w:p>
        </w:tc>
        <w:tc>
          <w:tcPr>
            <w:tcW w:w="2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(68,323)</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(74,914)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Acquisition of Tidewater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June 26, 2026 (the “acquisition date”), we completed the acquisition of 100% of AP Shale Logistics ManagementCo LLC, doing business as Tidewater Logistics (“Tidewater”), a barge and rail transloading company with operations in Ohio, West Virginia and Texas. Tidewater is an established transloading platform that is highly complementary with our Wheeling &amp; Lake Erie Railway by serving producers, shippers and industrial customers across key shale and energy markets in the Appalachian Basin and Gulf Coast region. We acquired the equity of Tidewater for an adjusted cash consideration of approximately $46.0 million, funded through an upsizing of our existing Term Loan Credit Agreement (see Note 7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2740"/>
                <wp:effectExtent l="0" t="0" r="0" b="0"/>
                <wp:wrapNone/>
                <wp:docPr id="19" name="Frame1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Tidewater will operate within the Railroad reportable segment (see Note 14 for additional information). The acquisition was accounted for under the acquisition method of accounting, and accordingly, the results of operations of Tidewater have been included in the Company’s Consolidated Statements of Operations as of the effective date of the acquisition. As of the acquisition date, the assets and liabilities of Tidewater were recognized at their fair values, including cash of $5.6 million, other assets of $6.0 million, property, plant and equipment of $54.8 million, customer relationship intangibles of $15.7 million, and liabilities of $36.1 million, including $29.5 million of a financing obligation. The customer relationship intangibles are amortizable over an estimated life of 15 years.</w:t>
      </w:r>
    </w:p>
    <w:p>
      <w:pPr>
        <w:pStyle w:val="TextBody"/>
        <w:bidi w:val="0"/>
        <w:spacing w:lineRule="auto" w:line="288" w:before="120" w:after="283"/>
        <w:jc w:val="both"/>
        <w:rPr/>
      </w:pPr>
      <w:r>
        <w:rPr>
          <w:rFonts w:ascii="Arial;sans-serif" w:hAnsi="Arial;sans-serif"/>
          <w:b w:val="false"/>
          <w:color w:val="000000"/>
          <w:sz w:val="18"/>
        </w:rPr>
        <w:t xml:space="preserve">In accordance with ASC 805, </w:t>
      </w:r>
      <w:r>
        <w:rPr>
          <w:rFonts w:ascii="Arial;sans-serif" w:hAnsi="Arial;sans-serif"/>
          <w:b w:val="false"/>
          <w:i/>
          <w:color w:val="000000"/>
          <w:sz w:val="18"/>
        </w:rPr>
        <w:t>Business Combinations</w:t>
      </w:r>
      <w:r>
        <w:rPr>
          <w:rFonts w:ascii="Arial;sans-serif" w:hAnsi="Arial;sans-serif"/>
          <w:b w:val="false"/>
          <w:color w:val="000000"/>
          <w:sz w:val="18"/>
        </w:rPr>
        <w:t>, the fair values assigned to underlying assets acquired and liabilities assumed are based on management’s estimates and assumptions, which will be refined during the measurement period. The significant assumptions used to estimate the fair value of the property, plant and equipment included replacement cost estimates, salvage values and market data for similar assets where available.</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Sale of KRS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June 30, 2026, we completed the sale of KRS for a purchase price of $0.1 million and recorded an impairment loss of $2.8 million through Asset impairment in the Company’s Consolidated Statement of Operations. KRS was included in our Corporate and Other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3. LEASING EQUIPMENT, NET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Leasing equipment, net is summarized as follows:</w:t>
      </w:r>
    </w:p>
    <w:tbl>
      <w:tblPr>
        <w:tblW w:w="5560" w:type="dxa"/>
        <w:jc w:val="left"/>
        <w:tblInd w:w="0" w:type="dxa"/>
        <w:tblLayout w:type="fixed"/>
        <w:tblCellMar>
          <w:top w:w="28" w:type="dxa"/>
          <w:left w:w="28" w:type="dxa"/>
          <w:bottom w:w="28" w:type="dxa"/>
          <w:right w:w="28" w:type="dxa"/>
        </w:tblCellMar>
      </w:tblPr>
      <w:tblGrid>
        <w:gridCol w:w="885"/>
        <w:gridCol w:w="777"/>
        <w:gridCol w:w="782"/>
        <w:gridCol w:w="237"/>
        <w:gridCol w:w="801"/>
        <w:gridCol w:w="132"/>
        <w:gridCol w:w="109"/>
        <w:gridCol w:w="109"/>
        <w:gridCol w:w="109"/>
        <w:gridCol w:w="318"/>
        <w:gridCol w:w="1051"/>
        <w:gridCol w:w="250"/>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equipment</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50,029</w:t>
            </w: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49,986 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(14,207)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(13,416)</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Leasing equipment, net</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35,822</w:t>
            </w:r>
            <w:r>
              <w:rPr>
                <w:color w:val="000000"/>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36,570 </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Depreciation expense for leasing equipment is summarized as follows:</w:t>
      </w:r>
    </w:p>
    <w:tbl>
      <w:tblPr>
        <w:tblW w:w="8375" w:type="dxa"/>
        <w:jc w:val="left"/>
        <w:tblInd w:w="0" w:type="dxa"/>
        <w:tblLayout w:type="fixed"/>
        <w:tblCellMar>
          <w:top w:w="28" w:type="dxa"/>
          <w:left w:w="28" w:type="dxa"/>
          <w:bottom w:w="28" w:type="dxa"/>
          <w:right w:w="28" w:type="dxa"/>
        </w:tblCellMar>
      </w:tblPr>
      <w:tblGrid>
        <w:gridCol w:w="1194"/>
        <w:gridCol w:w="1051"/>
        <w:gridCol w:w="1054"/>
        <w:gridCol w:w="268"/>
        <w:gridCol w:w="598"/>
        <w:gridCol w:w="149"/>
        <w:gridCol w:w="149"/>
        <w:gridCol w:w="149"/>
        <w:gridCol w:w="149"/>
        <w:gridCol w:w="268"/>
        <w:gridCol w:w="577"/>
        <w:gridCol w:w="149"/>
        <w:gridCol w:w="109"/>
        <w:gridCol w:w="109"/>
        <w:gridCol w:w="109"/>
        <w:gridCol w:w="244"/>
        <w:gridCol w:w="544"/>
        <w:gridCol w:w="136"/>
        <w:gridCol w:w="136"/>
        <w:gridCol w:w="136"/>
        <w:gridCol w:w="136"/>
        <w:gridCol w:w="244"/>
        <w:gridCol w:w="525"/>
        <w:gridCol w:w="192"/>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expense for leasing equipment</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396</w:t>
            </w: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792</w:t>
            </w: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4. PROPERTY, PLANT AND EQUIPMENT, NET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Property, plant and equipment, net is summarized as follows:</w:t>
      </w:r>
    </w:p>
    <w:tbl>
      <w:tblPr>
        <w:tblW w:w="6018" w:type="dxa"/>
        <w:jc w:val="left"/>
        <w:tblInd w:w="0" w:type="dxa"/>
        <w:tblLayout w:type="fixed"/>
        <w:tblCellMar>
          <w:top w:w="28" w:type="dxa"/>
          <w:left w:w="28" w:type="dxa"/>
          <w:bottom w:w="28" w:type="dxa"/>
          <w:right w:w="28" w:type="dxa"/>
        </w:tblCellMar>
      </w:tblPr>
      <w:tblGrid>
        <w:gridCol w:w="1044"/>
        <w:gridCol w:w="917"/>
        <w:gridCol w:w="919"/>
        <w:gridCol w:w="196"/>
        <w:gridCol w:w="886"/>
        <w:gridCol w:w="109"/>
        <w:gridCol w:w="109"/>
        <w:gridCol w:w="109"/>
        <w:gridCol w:w="109"/>
        <w:gridCol w:w="260"/>
        <w:gridCol w:w="1156"/>
        <w:gridCol w:w="204"/>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947" w:type="dxa"/>
            <w:gridSpan w:val="6"/>
            <w:tcBorders/>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site improvements and rights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360,555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513,835 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Buildings and improvements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39,322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72,997 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Bridges and tunnels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968,640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969,551 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Terminal machinery and equipment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1,301,890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1,357,502 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Proved oil and gas properties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304,716 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Unproved oil and gas properties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144,455 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Power plant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850,489 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Track and track related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335,850 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Railroad equipment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Railcars and locomotives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181,955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181,892 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Computer hardware and software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Furniture and fixtures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in progress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360,745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263,495 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29,591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30,029 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3,619,438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5,059,283 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(483,898)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(477,512)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plant and equipment, net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3,135,540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4,581,771 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2740"/>
                <wp:effectExtent l="0" t="0" r="0" b="0"/>
                <wp:wrapNone/>
                <wp:docPr id="20" name="Frame1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Amounts in the above table do not include assets classified as held for sale on the Consolidated Balance Sheet as of June 30, 2026 (refer to Note 2 for additional details).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Depreciation expense for property, plant and equipment is summarized as follows:</w:t>
      </w:r>
    </w:p>
    <w:tbl>
      <w:tblPr>
        <w:tblW w:w="6784" w:type="dxa"/>
        <w:jc w:val="left"/>
        <w:tblInd w:w="0" w:type="dxa"/>
        <w:tblLayout w:type="fixed"/>
        <w:tblCellMar>
          <w:top w:w="28" w:type="dxa"/>
          <w:left w:w="28" w:type="dxa"/>
          <w:bottom w:w="28" w:type="dxa"/>
          <w:right w:w="28" w:type="dxa"/>
        </w:tblCellMar>
      </w:tblPr>
      <w:tblGrid>
        <w:gridCol w:w="619"/>
        <w:gridCol w:w="545"/>
        <w:gridCol w:w="546"/>
        <w:gridCol w:w="214"/>
        <w:gridCol w:w="724"/>
        <w:gridCol w:w="119"/>
        <w:gridCol w:w="119"/>
        <w:gridCol w:w="119"/>
        <w:gridCol w:w="119"/>
        <w:gridCol w:w="214"/>
        <w:gridCol w:w="708"/>
        <w:gridCol w:w="119"/>
        <w:gridCol w:w="109"/>
        <w:gridCol w:w="109"/>
        <w:gridCol w:w="109"/>
        <w:gridCol w:w="196"/>
        <w:gridCol w:w="663"/>
        <w:gridCol w:w="109"/>
        <w:gridCol w:w="109"/>
        <w:gridCol w:w="109"/>
        <w:gridCol w:w="109"/>
        <w:gridCol w:w="196"/>
        <w:gridCol w:w="647"/>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expense</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38,021</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32,576 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87,230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5. INVESTMENTS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the ownership interests and carrying values of our investments:</w:t>
      </w:r>
    </w:p>
    <w:tbl>
      <w:tblPr>
        <w:tblW w:w="8777" w:type="dxa"/>
        <w:jc w:val="left"/>
        <w:tblInd w:w="0" w:type="dxa"/>
        <w:tblLayout w:type="fixed"/>
        <w:tblCellMar>
          <w:top w:w="28" w:type="dxa"/>
          <w:left w:w="28" w:type="dxa"/>
          <w:bottom w:w="28" w:type="dxa"/>
          <w:right w:w="28" w:type="dxa"/>
        </w:tblCellMar>
      </w:tblPr>
      <w:tblGrid>
        <w:gridCol w:w="712"/>
        <w:gridCol w:w="625"/>
        <w:gridCol w:w="627"/>
        <w:gridCol w:w="379"/>
        <w:gridCol w:w="379"/>
        <w:gridCol w:w="381"/>
        <w:gridCol w:w="109"/>
        <w:gridCol w:w="109"/>
        <w:gridCol w:w="109"/>
        <w:gridCol w:w="634"/>
        <w:gridCol w:w="634"/>
        <w:gridCol w:w="636"/>
        <w:gridCol w:w="109"/>
        <w:gridCol w:w="109"/>
        <w:gridCol w:w="109"/>
        <w:gridCol w:w="237"/>
        <w:gridCol w:w="801"/>
        <w:gridCol w:w="132"/>
        <w:gridCol w:w="109"/>
        <w:gridCol w:w="109"/>
        <w:gridCol w:w="109"/>
        <w:gridCol w:w="318"/>
        <w:gridCol w:w="1051"/>
        <w:gridCol w:w="250"/>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Ownership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Intermodal Finance I, Ltd.</w:t>
            </w:r>
          </w:p>
        </w:tc>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Pyroplast Energy LTD</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21,166</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21,166</w:t>
            </w:r>
            <w:r>
              <w:rPr>
                <w:color w:val="000000"/>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22,243 </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proportionate share of equity in earnings (losses):</w:t>
      </w:r>
    </w:p>
    <w:tbl>
      <w:tblPr>
        <w:tblW w:w="7592" w:type="dxa"/>
        <w:jc w:val="left"/>
        <w:tblInd w:w="0" w:type="dxa"/>
        <w:tblLayout w:type="fixed"/>
        <w:tblCellMar>
          <w:top w:w="28" w:type="dxa"/>
          <w:left w:w="28" w:type="dxa"/>
          <w:bottom w:w="28" w:type="dxa"/>
          <w:right w:w="28" w:type="dxa"/>
        </w:tblCellMar>
      </w:tblPr>
      <w:tblGrid>
        <w:gridCol w:w="913"/>
        <w:gridCol w:w="802"/>
        <w:gridCol w:w="804"/>
        <w:gridCol w:w="233"/>
        <w:gridCol w:w="591"/>
        <w:gridCol w:w="129"/>
        <w:gridCol w:w="129"/>
        <w:gridCol w:w="129"/>
        <w:gridCol w:w="129"/>
        <w:gridCol w:w="233"/>
        <w:gridCol w:w="752"/>
        <w:gridCol w:w="129"/>
        <w:gridCol w:w="109"/>
        <w:gridCol w:w="109"/>
        <w:gridCol w:w="109"/>
        <w:gridCol w:w="207"/>
        <w:gridCol w:w="667"/>
        <w:gridCol w:w="115"/>
        <w:gridCol w:w="115"/>
        <w:gridCol w:w="115"/>
        <w:gridCol w:w="115"/>
        <w:gridCol w:w="207"/>
        <w:gridCol w:w="588"/>
        <w:gridCol w:w="163"/>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Intermodal Finance I, Ltd.</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 Ridge Energy &amp; Power LLC</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 Ridge West Virginia LLC</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GM-FTAI Holdco LLC</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Clean Planet Energy USA LLC</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Pyroplast Energy LTD</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(560)</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(1,078)</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3,319 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Equity Investments</w:t>
      </w:r>
    </w:p>
    <w:p>
      <w:pPr>
        <w:pStyle w:val="TextBody"/>
        <w:bidi w:val="0"/>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TimberHP Madison, LLC</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February 2, 2026, the Company invested $5.0 million in TimberHP Madison, LLC (“TimberHP”) as a Secured Promissory Note. The note matures on February 2, 2028 and has a current annual interest rate of 5%. The interest is due at maturity.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April 17, 2026, the Company converted it’s existing Secured Promissory Note into preferred equity and invested an additional $5.0 million in TimberHP as preferred equity for a total $10.0 million investment. On the same date, the Company also issued a $5.0 million revolver to TimberHP that was not drawn upon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6. INTANGIBLE ASSETS, NET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Intangible assets, net are summarized as follows:</w:t>
      </w:r>
    </w:p>
    <w:tbl>
      <w:tblPr>
        <w:tblW w:w="4967" w:type="dxa"/>
        <w:jc w:val="left"/>
        <w:tblInd w:w="0" w:type="dxa"/>
        <w:tblLayout w:type="fixed"/>
        <w:tblCellMar>
          <w:top w:w="28" w:type="dxa"/>
          <w:left w:w="28" w:type="dxa"/>
          <w:bottom w:w="28" w:type="dxa"/>
          <w:right w:w="28" w:type="dxa"/>
        </w:tblCellMar>
      </w:tblPr>
      <w:tblGrid>
        <w:gridCol w:w="885"/>
        <w:gridCol w:w="779"/>
        <w:gridCol w:w="781"/>
        <w:gridCol w:w="109"/>
        <w:gridCol w:w="109"/>
        <w:gridCol w:w="196"/>
        <w:gridCol w:w="661"/>
        <w:gridCol w:w="109"/>
        <w:gridCol w:w="109"/>
        <w:gridCol w:w="109"/>
        <w:gridCol w:w="109"/>
        <w:gridCol w:w="196"/>
        <w:gridCol w:w="661"/>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75,735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55,980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55,980</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tbl>
      <w:tblPr>
        <w:tblW w:w="6351" w:type="dxa"/>
        <w:jc w:val="left"/>
        <w:tblInd w:w="0" w:type="dxa"/>
        <w:tblLayout w:type="fixed"/>
        <w:tblCellMar>
          <w:top w:w="28" w:type="dxa"/>
          <w:left w:w="28" w:type="dxa"/>
          <w:bottom w:w="28" w:type="dxa"/>
          <w:right w:w="28" w:type="dxa"/>
        </w:tblCellMar>
      </w:tblPr>
      <w:tblGrid>
        <w:gridCol w:w="885"/>
        <w:gridCol w:w="779"/>
        <w:gridCol w:w="781"/>
        <w:gridCol w:w="297"/>
        <w:gridCol w:w="843"/>
        <w:gridCol w:w="165"/>
        <w:gridCol w:w="109"/>
        <w:gridCol w:w="109"/>
        <w:gridCol w:w="109"/>
        <w:gridCol w:w="196"/>
        <w:gridCol w:w="646"/>
        <w:gridCol w:w="109"/>
        <w:gridCol w:w="109"/>
        <w:gridCol w:w="109"/>
        <w:gridCol w:w="109"/>
        <w:gridCol w:w="196"/>
        <w:gridCol w:w="64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intangible assets, net</w:t>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2740"/>
                <wp:effectExtent l="0" t="0" r="0" b="0"/>
                <wp:wrapNone/>
                <wp:docPr id="21" name="Frame2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Intangible assets, net related to the Power and Gas segment were classified as assets held for sale on the Consolidated Balance Sheet (refer to Note 2 for additional details).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Amortization of customer relationships is included in Depreciation and amortization in the Consolidated Statements of Operations and is as follows:</w:t>
      </w:r>
    </w:p>
    <w:tbl>
      <w:tblPr>
        <w:tblW w:w="7966" w:type="dxa"/>
        <w:jc w:val="left"/>
        <w:tblInd w:w="0" w:type="dxa"/>
        <w:tblLayout w:type="fixed"/>
        <w:tblCellMar>
          <w:top w:w="28" w:type="dxa"/>
          <w:left w:w="28" w:type="dxa"/>
          <w:bottom w:w="28" w:type="dxa"/>
          <w:right w:w="28" w:type="dxa"/>
        </w:tblCellMar>
      </w:tblPr>
      <w:tblGrid>
        <w:gridCol w:w="1048"/>
        <w:gridCol w:w="922"/>
        <w:gridCol w:w="925"/>
        <w:gridCol w:w="233"/>
        <w:gridCol w:w="680"/>
        <w:gridCol w:w="129"/>
        <w:gridCol w:w="129"/>
        <w:gridCol w:w="129"/>
        <w:gridCol w:w="129"/>
        <w:gridCol w:w="233"/>
        <w:gridCol w:w="662"/>
        <w:gridCol w:w="129"/>
        <w:gridCol w:w="109"/>
        <w:gridCol w:w="109"/>
        <w:gridCol w:w="109"/>
        <w:gridCol w:w="213"/>
        <w:gridCol w:w="621"/>
        <w:gridCol w:w="118"/>
        <w:gridCol w:w="118"/>
        <w:gridCol w:w="118"/>
        <w:gridCol w:w="118"/>
        <w:gridCol w:w="213"/>
        <w:gridCol w:w="605"/>
        <w:gridCol w:w="167"/>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customer relationships</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1,011</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2,014</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2,006 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changes in the carrying amount of goodwill for the six months ended June 30, 2026 are as follows:</w:t>
      </w:r>
    </w:p>
    <w:tbl>
      <w:tblPr>
        <w:tblW w:w="10176" w:type="dxa"/>
        <w:jc w:val="left"/>
        <w:tblInd w:w="0" w:type="dxa"/>
        <w:tblLayout w:type="fixed"/>
        <w:tblCellMar>
          <w:top w:w="28" w:type="dxa"/>
          <w:left w:w="28" w:type="dxa"/>
          <w:bottom w:w="28" w:type="dxa"/>
          <w:right w:w="28" w:type="dxa"/>
        </w:tblCellMar>
      </w:tblPr>
      <w:tblGrid>
        <w:gridCol w:w="946"/>
        <w:gridCol w:w="831"/>
        <w:gridCol w:w="833"/>
        <w:gridCol w:w="196"/>
        <w:gridCol w:w="751"/>
        <w:gridCol w:w="109"/>
        <w:gridCol w:w="109"/>
        <w:gridCol w:w="109"/>
        <w:gridCol w:w="109"/>
        <w:gridCol w:w="196"/>
        <w:gridCol w:w="751"/>
        <w:gridCol w:w="109"/>
        <w:gridCol w:w="109"/>
        <w:gridCol w:w="109"/>
        <w:gridCol w:w="109"/>
        <w:gridCol w:w="269"/>
        <w:gridCol w:w="887"/>
        <w:gridCol w:w="149"/>
        <w:gridCol w:w="109"/>
        <w:gridCol w:w="109"/>
        <w:gridCol w:w="109"/>
        <w:gridCol w:w="388"/>
        <w:gridCol w:w="1134"/>
        <w:gridCol w:w="218"/>
        <w:gridCol w:w="109"/>
        <w:gridCol w:w="109"/>
        <w:gridCol w:w="109"/>
        <w:gridCol w:w="196"/>
        <w:gridCol w:w="751"/>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Jefferson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Goodwill - December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90,337 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5,396 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365,703 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classified as held for sale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(90,337)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(90,337)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Goodwill - June 30, 2026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147,235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122,735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5,396</w:t>
            </w:r>
            <w:r>
              <w:rPr>
                <w:color w:val="000000"/>
              </w:rPr>
              <w:t> </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275,366</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2740"/>
                <wp:effectExtent l="0" t="0" r="0" b="0"/>
                <wp:wrapNone/>
                <wp:docPr id="22" name="Frame2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7. DEBT, NET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Our debt, net is summarized as follows:</w:t>
      </w:r>
    </w:p>
    <w:tbl>
      <w:tblPr>
        <w:tblW w:w="10205" w:type="dxa"/>
        <w:jc w:val="left"/>
        <w:tblInd w:w="0" w:type="dxa"/>
        <w:tblLayout w:type="fixed"/>
        <w:tblCellMar>
          <w:top w:w="28" w:type="dxa"/>
          <w:left w:w="28" w:type="dxa"/>
          <w:bottom w:w="28" w:type="dxa"/>
          <w:right w:w="28" w:type="dxa"/>
        </w:tblCellMar>
      </w:tblPr>
      <w:tblGrid>
        <w:gridCol w:w="976"/>
        <w:gridCol w:w="797"/>
        <w:gridCol w:w="804"/>
        <w:gridCol w:w="939"/>
        <w:gridCol w:w="939"/>
        <w:gridCol w:w="943"/>
        <w:gridCol w:w="109"/>
        <w:gridCol w:w="109"/>
        <w:gridCol w:w="109"/>
        <w:gridCol w:w="388"/>
        <w:gridCol w:w="388"/>
        <w:gridCol w:w="389"/>
        <w:gridCol w:w="109"/>
        <w:gridCol w:w="109"/>
        <w:gridCol w:w="109"/>
        <w:gridCol w:w="196"/>
        <w:gridCol w:w="886"/>
        <w:gridCol w:w="109"/>
        <w:gridCol w:w="109"/>
        <w:gridCol w:w="109"/>
        <w:gridCol w:w="109"/>
        <w:gridCol w:w="235"/>
        <w:gridCol w:w="1046"/>
        <w:gridCol w:w="189"/>
      </w:tblGrid>
      <w:tr>
        <w:trPr/>
        <w:tc>
          <w:tcPr>
            <w:tcW w:w="97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 Borrowings</w:t>
            </w:r>
          </w:p>
        </w:tc>
      </w:tr>
      <w:tr>
        <w:trPr/>
        <w:tc>
          <w:tcPr>
            <w:tcW w:w="2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Loans payable</w:t>
            </w:r>
          </w:p>
        </w:tc>
        <w:tc>
          <w:tcPr>
            <w:tcW w:w="2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DRP DB Term Loan </w:t>
            </w:r>
            <w:r>
              <w:rPr>
                <w:rFonts w:ascii="Arial;sans-serif" w:hAnsi="Arial;sans-serif"/>
                <w:b w:val="false"/>
                <w:color w:val="000000"/>
                <w:sz w:val="10"/>
              </w:rPr>
              <w:t>(2)</w:t>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11/30/26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110,943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105,828 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DRP Letter of Credit</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Base Rate + 4.00% (Term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Bridge Loan Credit Agreement </w:t>
            </w:r>
            <w:r>
              <w:rPr>
                <w:rFonts w:ascii="Arial;sans-serif" w:hAnsi="Arial;sans-serif"/>
                <w:b w:val="false"/>
                <w:color w:val="000000"/>
                <w:sz w:val="10"/>
              </w:rPr>
              <w:t>(1)</w:t>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Base Rate + 3.00%; or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Base Rate + 4.00% (Adjusted Term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1,227,294 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Term Loan Credit Agreement </w:t>
            </w:r>
            <w:r>
              <w:rPr>
                <w:rFonts w:ascii="Arial;sans-serif" w:hAnsi="Arial;sans-serif"/>
                <w:b w:val="false"/>
                <w:color w:val="000000"/>
                <w:sz w:val="10"/>
              </w:rPr>
              <w:t>(1) (4)</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1,403,687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EB-5 Loan Agreement </w:t>
            </w:r>
            <w:r>
              <w:rPr>
                <w:rFonts w:ascii="Arial;sans-serif" w:hAnsi="Arial;sans-serif"/>
                <w:b w:val="false"/>
                <w:color w:val="000000"/>
                <w:sz w:val="10"/>
              </w:rPr>
              <w:t>(2)</w:t>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1/25/27</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3/11/27</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(iii) 11/16/27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Jefferson Credit Agreement June 2025</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Base Rate + 3.00%; or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Base Rate + 4.00% (Term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RailCo Revolver</w:t>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Base Rate + 2.00%; or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Base Rate + 3.00% (Term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Long Ridge Acquiom Loan </w:t>
            </w:r>
            <w:r>
              <w:rPr>
                <w:rFonts w:ascii="Arial;sans-serif" w:hAnsi="Arial;sans-serif"/>
                <w:b w:val="false"/>
                <w:color w:val="000000"/>
                <w:sz w:val="10"/>
              </w:rPr>
              <w:t>(5)</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22,371 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Long Ridge GCM Note </w:t>
            </w:r>
            <w:r>
              <w:rPr>
                <w:rFonts w:ascii="Arial;sans-serif" w:hAnsi="Arial;sans-serif"/>
                <w:b w:val="false"/>
                <w:color w:val="000000"/>
                <w:sz w:val="10"/>
              </w:rPr>
              <w:t>(5)</w:t>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Long Ridge CanAm Loan </w:t>
            </w:r>
            <w:r>
              <w:rPr>
                <w:rFonts w:ascii="Arial;sans-serif" w:hAnsi="Arial;sans-serif"/>
                <w:b w:val="false"/>
                <w:color w:val="000000"/>
                <w:sz w:val="10"/>
              </w:rPr>
              <w:t>(5)</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9/13/29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Long Ridge Credit Agreement </w:t>
            </w:r>
            <w:r>
              <w:rPr>
                <w:rFonts w:ascii="Arial;sans-serif" w:hAnsi="Arial;sans-serif"/>
                <w:b w:val="false"/>
                <w:color w:val="000000"/>
                <w:sz w:val="10"/>
              </w:rPr>
              <w:t>(5)</w:t>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Base Rate + 3.50%; or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Base Rate + 4.50% (Term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 payable</w:t>
            </w:r>
          </w:p>
        </w:tc>
        <w:tc>
          <w:tcPr>
            <w:tcW w:w="2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1,631,738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2,031,493 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Bonds payable</w:t>
            </w:r>
          </w:p>
        </w:tc>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Series 2020 Bonds </w:t>
            </w:r>
            <w:r>
              <w:rPr>
                <w:rFonts w:ascii="Arial;sans-serif" w:hAnsi="Arial;sans-serif"/>
                <w:b w:val="false"/>
                <w:color w:val="000000"/>
                <w:sz w:val="10"/>
              </w:rPr>
              <w:t>(1)</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Tax Exempt Series 2020A Bonds: 3.625%</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Tax Exempt Series 2020A Bonds: 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1/1/35</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1/1/50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139,257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140,753 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Series 2021 Bonds </w:t>
            </w:r>
            <w:r>
              <w:rPr>
                <w:rFonts w:ascii="Arial;sans-serif" w:hAnsi="Arial;sans-serif"/>
                <w:b w:val="false"/>
                <w:color w:val="000000"/>
                <w:sz w:val="10"/>
              </w:rPr>
              <w:t>(1)</w:t>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Tax Exempt Series 2021A Bonds: 1.875% to 3.00%</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Taxable Series 2021B Bonds: 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1/1/26 to 1/1/50</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1/1/28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339,850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348,240 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Series 2024 Bonds </w:t>
            </w:r>
            <w:r>
              <w:rPr>
                <w:rFonts w:ascii="Arial;sans-serif" w:hAnsi="Arial;sans-serif"/>
                <w:b w:val="false"/>
                <w:color w:val="000000"/>
                <w:sz w:val="10"/>
              </w:rPr>
              <w:t>(1) (3)</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Tax Exempt Series 2024A Bonds: 5.000% to 5.250%</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Taxable Series 2024B Bonds: 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1/1/39 to 1/1/54</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7/1/26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379,585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378,458 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Series 2025 Bonds </w:t>
            </w:r>
            <w:r>
              <w:rPr>
                <w:rFonts w:ascii="Arial;sans-serif" w:hAnsi="Arial;sans-serif"/>
                <w:b w:val="false"/>
                <w:color w:val="000000"/>
                <w:sz w:val="10"/>
              </w:rPr>
              <w:t>(1)</w:t>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(i) Tax Exempt Series 2025 Bonds: 6.375%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Tax Exempt Series 2025 Bonds: 6.625%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1/1/35</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1/1/45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297,163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297,087 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Senior Notes due 2032 </w:t>
            </w:r>
            <w:r>
              <w:rPr>
                <w:rFonts w:ascii="Arial;sans-serif" w:hAnsi="Arial;sans-serif"/>
                <w:b w:val="false"/>
                <w:color w:val="000000"/>
                <w:sz w:val="10"/>
              </w:rPr>
              <w:t>(5)</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bonds payable</w:t>
            </w:r>
          </w:p>
        </w:tc>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1,155,855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1,764,538 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debt</w:t>
            </w:r>
          </w:p>
        </w:tc>
        <w:tc>
          <w:tcPr>
            <w:tcW w:w="2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2,787,593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3,796,031 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Debt issuance costs</w:t>
            </w:r>
          </w:p>
        </w:tc>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(21,858)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 net</w:t>
            </w:r>
          </w:p>
        </w:tc>
        <w:tc>
          <w:tcPr>
            <w:tcW w:w="2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2,763,717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3,774,173 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Principal debt due within one year</w:t>
            </w:r>
          </w:p>
        </w:tc>
        <w:tc>
          <w:tcPr>
            <w:tcW w:w="2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477,727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66,987 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Debt issuance costs</w:t>
            </w:r>
          </w:p>
        </w:tc>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principal debt, net due within one year</w:t>
            </w:r>
          </w:p>
        </w:tc>
        <w:tc>
          <w:tcPr>
            <w:tcW w:w="2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476,768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65,438 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an unamortized discount of $45,331 and $36,313 at June 30, 2026 and December 31, 2025, respectively.</w:t>
      </w:r>
    </w:p>
    <w:p>
      <w:pPr>
        <w:pStyle w:val="TextBody"/>
        <w:bidi w:val="0"/>
        <w:spacing w:lineRule="auto" w:line="288" w:before="60" w:after="283"/>
        <w:ind w:left="0" w:right="0" w:hanging="180"/>
        <w:jc w:val="both"/>
        <w:rPr/>
      </w:pPr>
      <w:r>
        <w:rPr>
          <w:rFonts w:ascii="Arial;sans-serif" w:hAnsi="Arial;sans-serif"/>
          <w:b w:val="false"/>
          <w:color w:val="000000"/>
          <w:sz w:val="10"/>
        </w:rPr>
        <w:t xml:space="preserve">(2) </w:t>
      </w:r>
      <w:r>
        <w:rPr>
          <w:rFonts w:ascii="Arial;sans-serif" w:hAnsi="Arial;sans-serif"/>
          <w:b w:val="false"/>
          <w:color w:val="000000"/>
          <w:sz w:val="16"/>
        </w:rPr>
        <w:t>See discussion in Note 8 of the Company’s Annual Report on Form 10-K for the year ended December 31, 2025 for extension options related to these debt obligations.</w:t>
      </w:r>
    </w:p>
    <w:p>
      <w:pPr>
        <w:pStyle w:val="TextBody"/>
        <w:bidi w:val="0"/>
        <w:spacing w:lineRule="auto" w:line="288" w:before="60" w:after="283"/>
        <w:ind w:left="0" w:right="0" w:hanging="180"/>
        <w:jc w:val="both"/>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See below discussion in Note 7 for details related to the Jefferson Bridge Loan Credit Agreement for the Jefferson Taxable Series 2024B Bonds.</w:t>
      </w:r>
    </w:p>
    <w:p>
      <w:pPr>
        <w:pStyle w:val="TextBody"/>
        <w:bidi w:val="0"/>
        <w:spacing w:lineRule="auto" w:line="288" w:before="60" w:after="283"/>
        <w:ind w:left="0" w:right="0" w:hanging="180"/>
        <w:jc w:val="both"/>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Per a mandatory prepayment clause in our Term Loan Credit Agreement, we are required to use the net proceeds from the sale of Long Ridge Energy &amp; Power LLC to pay down a portion of the Term Loan. As such, we have classified an estimate of the portion of the Term Loan that will be paid upon completion of the sale as short-term and have accrued for a portion of the incremental payment required at the time of the settlement under the multiple-on-invested-capital (“MOIC”) provision as of June 30, 2026.</w:t>
      </w:r>
    </w:p>
    <w:p>
      <w:pPr>
        <w:pStyle w:val="TextBody"/>
        <w:bidi w:val="0"/>
        <w:spacing w:lineRule="auto" w:line="288" w:before="60" w:after="283"/>
        <w:ind w:left="0" w:right="0" w:hanging="180"/>
        <w:jc w:val="both"/>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As of June 30, 2026, these debt instruments were classified as liabilities held for sale on the Consolidated Balance Sheet (refer to Note 2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2740"/>
                <wp:effectExtent l="0" t="0" r="0" b="0"/>
                <wp:wrapNone/>
                <wp:docPr id="23" name="Frame2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and December 31, 2025, the weighted average interest rates on our short-term borrowings were 9.7% and 9.7%, respectively.</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June 2025 Jefferson Credit Agreement Extension and Paydown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January 2026, Jefferson Terminal exercised its option to extend the maturity of that certain Credit Agreement, dated as of June 30, 2025, among certain subsidiaries of the Company, the lenders party thereto and Barclays Bank PLC (the “June 2025 Jefferson Credit Agreement”) to August 31, 2026. In March 2026, we used a portion of the Term Loan Credit Agreement net proceeds (see below) to repay in full and terminate the June 2025 Jefferson Credit Agreement.</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Term Loan Credit Agreement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February 25, 2026, we entered into a credit agreement (the “Term Loan Credit Agreement”), which provides for a $1.35 billion secured term loan facility (the “Term Loan”). The Term Loan matures on February 1, 2028 and accrues interest at a rate of 9.75% per annum. On February 26, 2026, $1.3 billion of the Term Loan was funded, and the remaining $35.4 million was funded on March 10, 2026.</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Company used the net proceeds from the Term Loan to repay in full all outstanding principal and interest (together with fees, expenses and other amounts owed in connection therewith) under (i) that certain Credit Agreement, dated as of August 25, 2025, among the Company, the lenders party thereto and Barclays Bank PLC (the “the Bridge Loan Credit Agreement”) and (ii) the June 2025 Jefferson Credit Agreement. We recognized a loss on extinguishment of debt of (i) $39.5 million from the repayment of the Bridge Loan Credit Agreement and (ii) $6.4 million from the repayment of the June 2025 Jefferson Credit Agreement in connection with this transaction.</w:t>
      </w:r>
    </w:p>
    <w:p>
      <w:pPr>
        <w:pStyle w:val="TextBody"/>
        <w:bidi w:val="0"/>
        <w:spacing w:lineRule="auto" w:line="288" w:before="120" w:after="283"/>
        <w:jc w:val="both"/>
        <w:rPr/>
      </w:pPr>
      <w:r>
        <w:rPr>
          <w:rFonts w:ascii="Arial;sans-serif" w:hAnsi="Arial;sans-serif"/>
          <w:b w:val="false"/>
          <w:color w:val="000000"/>
          <w:sz w:val="18"/>
        </w:rPr>
        <w:t>In connection with the Term Loan, the Company and certain of its subsidiaries provided a first-priority security interest in substantially all of their respective assets, subject to customary exceptions and exclusions. Additionally, the Term Loan is subject to a 1.25x MOIC total lender return provision, payable in cash upon any partial or full repayment, prepayment, maturity or acceleration of the Term Loan. The sale of Long Ridge invokes a mandatory prepayment provision associated with proceeds from the sale (see Note 2 for additional details), under which the MOIC steps down to 1.125x for prepayments or repayments of the Term Loan using proceeds from the sale of Long Ridge occurring on or prior to July 31, 2026 and to 1.19x for prepayments or repayments of the Term Loan using proceeds from the sale of Long Ridge occurring on or after August 1, 2026 and on or before October 31, 2026. The Company currently estimates the sale of Long Ridge to occur in September 2026. As of June 30, 2026, the Company recorded a total liability of $25.5 million related to the MOIC, of which $14.3 million and $11.2 million</w:t>
      </w:r>
      <w:r>
        <w:rPr>
          <w:color w:val="000000"/>
        </w:rPr>
        <w:t xml:space="preserve"> </w:t>
      </w:r>
      <w:r>
        <w:rPr>
          <w:rFonts w:ascii="Arial;sans-serif" w:hAnsi="Arial;sans-serif"/>
          <w:b w:val="false"/>
          <w:color w:val="000000"/>
          <w:sz w:val="18"/>
        </w:rPr>
        <w:t>were recorded in current and non-current Debt, net, respectively, on the Consolidated Balance Sheet and included in the outstanding principal balance of the Term Loan. Changes in the MOIC liability are recognized through interest expense.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incurred $6.4 million of issuance costs related to the Term Loan Credit Agreement.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June 26, 2026, in connection with the acquisition of Tidewater (see Note 2 for additional details), we upsized our Term Loan Credit Agreement by approximately $61.9 million with the same terms as the original Term Loan Credit Agreement and made certain other amendments to the Term Loan Credit Agreement. The Company recorded a loss on modification of debt of $1.1 million.</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Jefferson Terminal Bridge Loan Credit Agreement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March 16, 2026, Jefferson Terminal signed a commitment letter for a senior secured bridge facility, pursuant to which the Company may, at its sole option, on or prior to July 1, 2026, elect to borrow from a lender funds in an aggregate principal amount of $255 million pursuant to a bridge facility that will have a maturity date which is 364 days after the close of such bridge facility. On July 1, 2026, the Company entered into the Jefferson Bridge Loan Credit Agreement. See Note 18 for details related to the utilization of the Jefferson Bridge Loan Credit Agreement used to redeem all outstanding Jefferson Taxable Series 2024B Bonds.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Long Ridge Acquiom Loan Amendments</w:t>
      </w:r>
    </w:p>
    <w:p>
      <w:pPr>
        <w:pStyle w:val="TextBody"/>
        <w:bidi w:val="0"/>
        <w:spacing w:lineRule="auto" w:line="288" w:before="120" w:after="283"/>
        <w:jc w:val="both"/>
        <w:rPr/>
      </w:pPr>
      <w:r>
        <w:rPr>
          <w:rFonts w:ascii="Arial;sans-serif" w:hAnsi="Arial;sans-serif"/>
          <w:b w:val="false"/>
          <w:color w:val="000000"/>
          <w:sz w:val="18"/>
        </w:rPr>
        <w:t>On April 29, 2026 and June 16, 2026, Long Ridge Energy &amp; Power LLC entered into Third and Fourth Amendments to the Credit Agreement, respectively, which amended that certain Credit Agreement, dated as of May 7, 2025, among Long Ridge Energy &amp; Power LLC, Ohio River Partners Shareholder LLC, the lenders party thereto and Acquiom Agency Services LLC (the “Long Ridge Acquiom Loan”) to, among other things, refinance all outstanding indebtedness under the existing Long Ridge Acquiom Loan and borrow an additional $19.5 million in the form of incremental loans. In connection with these amendments, we recorded a loss on modification of debt of $0.5 million</w:t>
      </w:r>
      <w:r>
        <w:rPr>
          <w:rFonts w:ascii="Times New Roman;serif" w:hAnsi="Times New Roman;serif"/>
          <w:b w:val="false"/>
          <w:color w:val="000000"/>
          <w:sz w:val="20"/>
        </w:rPr>
        <w:t xml:space="preserve">. </w:t>
      </w:r>
      <w:r>
        <w:rPr>
          <w:rFonts w:ascii="Arial;sans-serif" w:hAnsi="Arial;sans-serif"/>
          <w:b w:val="false"/>
          <w:color w:val="000000"/>
          <w:sz w:val="18"/>
        </w:rPr>
        <w:t>As of June 30, 2026, the Long Ridge Acquiom Loan was classified as liabilities held for sale on the Consolidated Balance Sheet (refer to Note 2 for additional details).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DRP Letter of Credit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June 10, 2026, a counterparty of our Repauno segment drew down on its letter of credit (“LC”), providing for $3.3 million, which was required to be reimbursed to the LC issuer by Repauno on or prior to July 7, 2026. The reimbursement obligation bore interest at the sum of 4.00% plus SOFR as administered by the Federal Reserve Bank of New York until it was paid off in July 2026.</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were in compliance with all debt covenants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32740"/>
                <wp:effectExtent l="0" t="0" r="0" b="0"/>
                <wp:wrapNone/>
                <wp:docPr id="24" name="Frame2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8. FAIR VALUE MEASUREMENTS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Fair value measurements and disclosures require the use of valuation techniques to measure fair value that maximize the use of observable inputs and minimize use of unobservable inputs. These inputs are prioritized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Level 1: Observable inputs such as quoted prices in active markets for identical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Level 2: Inputs other than quoted prices included within Level 1 that are observable, either directly or indirectly, such as quoted prices for similar assets or liabilities or market corroborated inputs.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Level 3: Unobservable inputs for which there is little or no market data and which require us to develop our own assumptions about how market participants price the asset or liability.</w: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The valuation techniques that may be used to measure fair value are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Market approach—Uses prices and other relevant information generated by market transactions involving identical or comparable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Income approach—Uses valuation techniques to convert future amounts to a single present amount based on current market expectations about those future amounts.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approach—Based on the amount that currently would be required to replace the service capacity of an asset (replacement cost).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note receivable of $13.6 million as of both June 30, 2026 and December 31, 2025, respectively, is related to CarbonFree, a business that develops technologies to capture carbon dioxide from industrial emissions sources. We elected the fair value option for this note receivable to better align the reported results with the underlying changes in the value of this note receivable, and record the balance of the note receivable in Other assets in the Consolidated Balance Sheets. The Company records interest income, which is included in Other income in the Consolidated Statements of Operations, on this note receivable using the contractual interest rate and classifies the note receivable as Level 2 within the fair value hierarchy.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fair value of our electricity derivative liabilities of $251.3 million and $223.5 million as of June 30, 2026 and December 31, 2025, respectively, are estimated by applying the income approach, which is based on discounted projected future cash flows, and are classified as Level 2 within the fair value hierarchy. The valuation of our electricity derivatives is based on management’s best estimate of certain key assumptions, which include estimated power forward curves, probability of default, and the discount rate. As of June 30, 2026, our electricity derivative liabilities were classified as liabilities held for sale on the Consolidated Balance Sheet (refer to Note 2 for additional details).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cash and cash equivalents and restricted cash and cash equivalents consist largely of demand deposit accounts with maturities of 90 days or less when purchases are considered to be highly liquid. These instruments are valued using inputs observable in active markets for identical instruments and are therefore classified as Level 1 within the fair value hierarchy.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Except as discussed below, our financial instruments other than cash and cash equivalents and restricted cash and cash equivalents consist principally of accounts receivable, notes receivable, accounts payable and accrued liabilities, and loans payable, and their fair values approximate their carrying values based on an evaluation of pricing data, vendor quotes, and historical trading activity or due to their short maturity profiles. There have been no changes in Level 1, Level 2, and Level 3 and no changes in valuation techniques for financial instruments measured at fair value on a recurring basis for the periods ended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32740"/>
                <wp:effectExtent l="0" t="0" r="0" b="0"/>
                <wp:wrapNone/>
                <wp:docPr id="25" name="Frame2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val="false"/>
          <w:color w:val="000000"/>
          <w:sz w:val="18"/>
        </w:rPr>
        <w:t>In August 2025, FIP RR Holdings LLC (“RR Holdings”), a subsidiary of the Company, issued warrants (“Series A Warrants - RailCo”) in connection with the Wheeling Acquisition. The fair value of the Series A Warrants - RailCo is estimated using a Black-Scholes valuation model, which is considered to be a Level 3 fair value measurement. The fair value of the Series A Warrants - RailCo is primarily based on the underlying shares of RR Holdings. The Series A Warrants - RailCo are classified as a liability due to certain provisions which may result in a cash settlement, and are therefore presented within Warrant liabilities on the Consolidated Balance Sheets. The warrant liabilities are measured at fair value on a recurring basis, with changes in fair value of $0.9 million for the six months ended June 30, 2026</w:t>
      </w:r>
      <w:r>
        <w:rPr>
          <w:color w:val="000000"/>
        </w:rPr>
        <w:t xml:space="preserve"> </w:t>
      </w:r>
      <w:r>
        <w:rPr>
          <w:rFonts w:ascii="Arial;sans-serif" w:hAnsi="Arial;sans-serif"/>
          <w:b w:val="false"/>
          <w:color w:val="000000"/>
          <w:sz w:val="18"/>
        </w:rPr>
        <w:t>presented within Other income in the Consolidated Statements of Operations. The following table presents the key inputs applied in the valuation of the warrant liabilities:</w:t>
      </w:r>
    </w:p>
    <w:tbl>
      <w:tblPr>
        <w:tblW w:w="5739" w:type="dxa"/>
        <w:jc w:val="left"/>
        <w:tblInd w:w="0" w:type="dxa"/>
        <w:tblLayout w:type="fixed"/>
        <w:tblCellMar>
          <w:top w:w="28" w:type="dxa"/>
          <w:left w:w="28" w:type="dxa"/>
          <w:bottom w:w="28" w:type="dxa"/>
          <w:right w:w="28" w:type="dxa"/>
        </w:tblCellMar>
      </w:tblPr>
      <w:tblGrid>
        <w:gridCol w:w="948"/>
        <w:gridCol w:w="836"/>
        <w:gridCol w:w="840"/>
        <w:gridCol w:w="389"/>
        <w:gridCol w:w="389"/>
        <w:gridCol w:w="391"/>
        <w:gridCol w:w="109"/>
        <w:gridCol w:w="109"/>
        <w:gridCol w:w="109"/>
        <w:gridCol w:w="474"/>
        <w:gridCol w:w="474"/>
        <w:gridCol w:w="671"/>
      </w:tblGrid>
      <w:tr>
        <w:trPr/>
        <w:tc>
          <w:tcPr>
            <w:tcW w:w="94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Number of units</w:t>
            </w:r>
          </w:p>
        </w:tc>
        <w:tc>
          <w:tcPr>
            <w:tcW w:w="1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172,500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172,500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at grant date ($ millions)</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$85.8</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Strike price</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$628.36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$761.05</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volatility</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Risk free interest rate</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dividend yield</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term</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 years</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 fair value (per share)</w:t>
            </w:r>
          </w:p>
        </w:tc>
        <w:tc>
          <w:tcPr>
            <w:tcW w:w="116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$478.40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$473.04</w:t>
            </w:r>
          </w:p>
        </w:tc>
      </w:tr>
    </w:tbl>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Level 3 Reconciliation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is a reconciliation of the beginning and ending balances of recurring fair value measurements recognized in the accompanying Consolidated Balance Sheet using significant unobservable (Level 3) inputs:</w:t>
      </w:r>
    </w:p>
    <w:tbl>
      <w:tblPr>
        <w:tblW w:w="4040" w:type="dxa"/>
        <w:jc w:val="left"/>
        <w:tblInd w:w="0" w:type="dxa"/>
        <w:tblLayout w:type="fixed"/>
        <w:tblCellMar>
          <w:top w:w="28" w:type="dxa"/>
          <w:left w:w="28" w:type="dxa"/>
          <w:bottom w:w="28" w:type="dxa"/>
          <w:right w:w="28" w:type="dxa"/>
        </w:tblCellMar>
      </w:tblPr>
      <w:tblGrid>
        <w:gridCol w:w="1075"/>
        <w:gridCol w:w="945"/>
        <w:gridCol w:w="949"/>
        <w:gridCol w:w="196"/>
        <w:gridCol w:w="7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Warrants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 December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(81,599)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balance, June 30, 2026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(82,523)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fair value of our bonds, notes payable and loans payable reported as Debt, net in the Consolidated Balance Sheets are presented in the table below:</w:t>
      </w:r>
    </w:p>
    <w:tbl>
      <w:tblPr>
        <w:tblW w:w="5215" w:type="dxa"/>
        <w:jc w:val="left"/>
        <w:tblInd w:w="0" w:type="dxa"/>
        <w:tblLayout w:type="fixed"/>
        <w:tblCellMar>
          <w:top w:w="28" w:type="dxa"/>
          <w:left w:w="28" w:type="dxa"/>
          <w:bottom w:w="28" w:type="dxa"/>
          <w:right w:w="28" w:type="dxa"/>
        </w:tblCellMar>
      </w:tblPr>
      <w:tblGrid>
        <w:gridCol w:w="759"/>
        <w:gridCol w:w="667"/>
        <w:gridCol w:w="674"/>
        <w:gridCol w:w="217"/>
        <w:gridCol w:w="832"/>
        <w:gridCol w:w="120"/>
        <w:gridCol w:w="109"/>
        <w:gridCol w:w="109"/>
        <w:gridCol w:w="109"/>
        <w:gridCol w:w="292"/>
        <w:gridCol w:w="1098"/>
        <w:gridCol w:w="229"/>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Series 2020A Bonds </w:t>
            </w:r>
            <w:r>
              <w:rPr>
                <w:rFonts w:ascii="Arial;sans-serif" w:hAnsi="Arial;sans-serif"/>
                <w:b w:val="false"/>
                <w:color w:val="000000"/>
                <w:sz w:val="10"/>
              </w:rPr>
              <w:t>(1)</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117,212</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115,979 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Series 2021A Bonds </w:t>
            </w:r>
            <w:r>
              <w:rPr>
                <w:rFonts w:ascii="Arial;sans-serif" w:hAnsi="Arial;sans-serif"/>
                <w:b w:val="false"/>
                <w:color w:val="000000"/>
                <w:sz w:val="10"/>
              </w:rPr>
              <w:t>(1)</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107,960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120,448 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Series 2021B Bonds </w:t>
            </w:r>
            <w:r>
              <w:rPr>
                <w:rFonts w:ascii="Arial;sans-serif" w:hAnsi="Arial;sans-serif"/>
                <w:b w:val="false"/>
                <w:color w:val="000000"/>
                <w:sz w:val="10"/>
              </w:rPr>
              <w:t>(1)</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183,192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182,630 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Series 2024A Bonds </w:t>
            </w:r>
            <w:r>
              <w:rPr>
                <w:rFonts w:ascii="Arial;sans-serif" w:hAnsi="Arial;sans-serif"/>
                <w:b w:val="false"/>
                <w:color w:val="000000"/>
                <w:sz w:val="10"/>
              </w:rPr>
              <w:t>(1)</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159,614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160,802 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Series 2024B Bonds </w:t>
            </w:r>
            <w:r>
              <w:rPr>
                <w:rFonts w:ascii="Arial;sans-serif" w:hAnsi="Arial;sans-serif"/>
                <w:b w:val="false"/>
                <w:color w:val="000000"/>
                <w:sz w:val="10"/>
              </w:rPr>
              <w:t>(1)</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217,874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222,949 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Series 2025 Bonds </w:t>
            </w:r>
            <w:r>
              <w:rPr>
                <w:rFonts w:ascii="Arial;sans-serif" w:hAnsi="Arial;sans-serif"/>
                <w:b w:val="false"/>
                <w:color w:val="000000"/>
                <w:sz w:val="10"/>
              </w:rPr>
              <w:t>(1)</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318,216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309,285 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Senior Notes due 2032 </w:t>
            </w:r>
            <w:r>
              <w:rPr>
                <w:rFonts w:ascii="Arial;sans-serif" w:hAnsi="Arial;sans-serif"/>
                <w:b w:val="false"/>
                <w:color w:val="000000"/>
                <w:sz w:val="10"/>
              </w:rPr>
              <w:t>(1) (2)</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638,880 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EB-5 Loan Agreement</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24,344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25,536 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EB-5.2 Loan Agreement</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9,157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EB-5.3 Loan Agreement</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25,740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25,315 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Fair value is based upon market prices for similar municipal securities.</w:t>
      </w:r>
    </w:p>
    <w:p>
      <w:pPr>
        <w:pStyle w:val="TextBody"/>
        <w:bidi w:val="0"/>
        <w:spacing w:lineRule="auto" w:line="288" w:before="60" w:after="283"/>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As of June 30, 2026, the Senior Notes due 2032 were classified as liabilities held for sale on the Consolidated Balance Sheet (refer to Note 2 for additional details).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fair value of all other items reported as Debt, net in the Consolidated Balance Sheets approximates their carrying values due to their bearing market rates of interest and are classified as Level 2 within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32740"/>
                <wp:effectExtent l="0" t="0" r="0" b="0"/>
                <wp:wrapNone/>
                <wp:docPr id="26" name="Frame2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9. DERIVATIVE FINANCIAL INSTRUMENTS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Long Ridge Energy &amp; Power LLC is subject to electricity price volatility stemming from the sales of electricity from the Long Ridge power generation plant. Long Ridge Energy &amp; Power LLC enters into electricity swap agreements to manage our exposure to electricity price fluctuations. The electricity swap derivatives are designated as hedging instruments within cash flow hedging relationships. The Company recognizes the realized gain or loss in Revenues in our Consolidated Statements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we have a $10.0 million letter of credit and a $1.0 million letter of credit that have been provided to electricity swap counterparties and will mature on February 26, 2028 and February 10, 2027, respectively.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Refer to Note 8 for our fair value measurement of derivative financial instruments.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information related to our outstanding derivative contracts as of June 30, 2026 and December 31, 2025:</w:t>
      </w:r>
    </w:p>
    <w:tbl>
      <w:tblPr>
        <w:tblW w:w="10205" w:type="dxa"/>
        <w:jc w:val="left"/>
        <w:tblInd w:w="0" w:type="dxa"/>
        <w:tblLayout w:type="fixed"/>
        <w:tblCellMar>
          <w:top w:w="28" w:type="dxa"/>
          <w:left w:w="28" w:type="dxa"/>
          <w:bottom w:w="28" w:type="dxa"/>
          <w:right w:w="28" w:type="dxa"/>
        </w:tblCellMar>
      </w:tblPr>
      <w:tblGrid>
        <w:gridCol w:w="1247"/>
        <w:gridCol w:w="1090"/>
        <w:gridCol w:w="1092"/>
        <w:gridCol w:w="489"/>
        <w:gridCol w:w="461"/>
        <w:gridCol w:w="463"/>
        <w:gridCol w:w="109"/>
        <w:gridCol w:w="109"/>
        <w:gridCol w:w="109"/>
        <w:gridCol w:w="414"/>
        <w:gridCol w:w="922"/>
        <w:gridCol w:w="230"/>
        <w:gridCol w:w="109"/>
        <w:gridCol w:w="109"/>
        <w:gridCol w:w="109"/>
        <w:gridCol w:w="317"/>
        <w:gridCol w:w="1309"/>
        <w:gridCol w:w="176"/>
        <w:gridCol w:w="109"/>
        <w:gridCol w:w="109"/>
        <w:gridCol w:w="109"/>
        <w:gridCol w:w="292"/>
        <w:gridCol w:w="292"/>
        <w:gridCol w:w="430"/>
      </w:tblGrid>
      <w:tr>
        <w:trPr/>
        <w:tc>
          <w:tcPr>
            <w:tcW w:w="124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of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of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w:t>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Designated as Cash Flow Hedges:</w:t>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Swaps (MWh)</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741,777</w:t>
            </w: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(251,274)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3 to 6 Years</w:t>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Non-Hedge Derivative Instruments:</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 ($)</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200,000</w:t>
            </w: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289</w:t>
            </w: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 Years</w:t>
            </w:r>
          </w:p>
        </w:tc>
      </w:tr>
      <w:tr>
        <w:trPr/>
        <w:tc>
          <w:tcPr>
            <w:tcW w:w="3429"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289</w:t>
            </w:r>
            <w:r>
              <w:rPr>
                <w:color w:val="000000"/>
              </w:rPr>
              <w:t>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(251,274)</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of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of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w:t>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Designated as Cash Flow Hedges:</w:t>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Swaps (MWh)</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774,728 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(222,894)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 to 6 Years</w:t>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Non-Hedge Derivative Instruments:</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 ($)</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200,000 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 Years</w:t>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Forward Prices (MMBtu)</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2,425 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0 Years</w:t>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(223,497)</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derivative assets and liabilities were classified as assets held for sale and liabilities held for sale, respectively, on the Consolidated Balance Sheet (refer to Note 2 for additional details).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the pre-tax gains (losses) recognized in accumulated other comprehensive loss and earnings related to all derivative instruments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875"/>
        <w:gridCol w:w="1646"/>
        <w:gridCol w:w="1575"/>
        <w:gridCol w:w="200"/>
        <w:gridCol w:w="718"/>
        <w:gridCol w:w="111"/>
        <w:gridCol w:w="111"/>
        <w:gridCol w:w="111"/>
        <w:gridCol w:w="111"/>
        <w:gridCol w:w="200"/>
        <w:gridCol w:w="718"/>
        <w:gridCol w:w="111"/>
        <w:gridCol w:w="109"/>
        <w:gridCol w:w="109"/>
        <w:gridCol w:w="109"/>
        <w:gridCol w:w="196"/>
        <w:gridCol w:w="702"/>
        <w:gridCol w:w="109"/>
        <w:gridCol w:w="109"/>
        <w:gridCol w:w="109"/>
        <w:gridCol w:w="109"/>
        <w:gridCol w:w="196"/>
        <w:gridCol w:w="702"/>
        <w:gridCol w:w="159"/>
      </w:tblGrid>
      <w:tr>
        <w:trPr/>
        <w:tc>
          <w:tcPr>
            <w:tcW w:w="187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 Hedges</w:t>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Gains (losses) recognized in accumulated other comprehensive loss:</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swaps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(42,757)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509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5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(42,757)</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(17,468)</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(38,903)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(41,899)</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Gains (losses) reclassified from accumulated other comprehensive loss to earnings:</w:t>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swaps</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509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5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(4,731)</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(20,691)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Gains (losses) recognized in earnings related to:</w:t>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 designated as hedging instruments:</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forwards</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w:t>
            </w:r>
            <w:r>
              <w:rPr>
                <w:color w:val="000000"/>
              </w:rPr>
              <w:t>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32740"/>
                <wp:effectExtent l="0" t="0" r="0" b="0"/>
                <wp:wrapNone/>
                <wp:docPr id="27" name="Frame2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10. REVENUES</w:t>
      </w:r>
    </w:p>
    <w:p>
      <w:pPr>
        <w:pStyle w:val="TextBody"/>
        <w:bidi w:val="0"/>
        <w:spacing w:lineRule="auto" w:line="288" w:before="120" w:after="283"/>
        <w:jc w:val="both"/>
        <w:rPr/>
      </w:pPr>
      <w:r>
        <w:rPr>
          <w:rFonts w:ascii="Arial;sans-serif" w:hAnsi="Arial;sans-serif"/>
          <w:b w:val="false"/>
          <w:color w:val="000000"/>
          <w:sz w:val="18"/>
        </w:rPr>
        <w:t xml:space="preserve">We disaggregate our revenue from contracts with customers by products and services provided for each of our segments, as we believe it best depicts the nature, amount, timing and uncertainty of our revenue. Revenues are within the scope of ASC 606, </w:t>
      </w:r>
      <w:r>
        <w:rPr>
          <w:rFonts w:ascii="Arial;sans-serif" w:hAnsi="Arial;sans-serif"/>
          <w:b w:val="false"/>
          <w:i/>
          <w:color w:val="000000"/>
          <w:sz w:val="18"/>
        </w:rPr>
        <w:t>Revenue from Contracts with Customers</w:t>
      </w:r>
      <w:r>
        <w:rPr>
          <w:rFonts w:ascii="Arial;sans-serif" w:hAnsi="Arial;sans-serif"/>
          <w:b w:val="false"/>
          <w:color w:val="000000"/>
          <w:sz w:val="18"/>
        </w:rPr>
        <w:t>, unless otherwise noted. We have elected to exclude sales and other similar taxes from revenues.</w:t>
      </w:r>
    </w:p>
    <w:tbl>
      <w:tblPr>
        <w:tblW w:w="10205" w:type="dxa"/>
        <w:jc w:val="left"/>
        <w:tblInd w:w="0" w:type="dxa"/>
        <w:tblLayout w:type="fixed"/>
        <w:tblCellMar>
          <w:top w:w="28" w:type="dxa"/>
          <w:left w:w="28" w:type="dxa"/>
          <w:bottom w:w="28" w:type="dxa"/>
          <w:right w:w="28" w:type="dxa"/>
        </w:tblCellMar>
      </w:tblPr>
      <w:tblGrid>
        <w:gridCol w:w="613"/>
        <w:gridCol w:w="451"/>
        <w:gridCol w:w="454"/>
        <w:gridCol w:w="196"/>
        <w:gridCol w:w="751"/>
        <w:gridCol w:w="109"/>
        <w:gridCol w:w="109"/>
        <w:gridCol w:w="109"/>
        <w:gridCol w:w="109"/>
        <w:gridCol w:w="258"/>
        <w:gridCol w:w="871"/>
        <w:gridCol w:w="143"/>
        <w:gridCol w:w="109"/>
        <w:gridCol w:w="109"/>
        <w:gridCol w:w="109"/>
        <w:gridCol w:w="196"/>
        <w:gridCol w:w="571"/>
        <w:gridCol w:w="109"/>
        <w:gridCol w:w="109"/>
        <w:gridCol w:w="109"/>
        <w:gridCol w:w="109"/>
        <w:gridCol w:w="218"/>
        <w:gridCol w:w="838"/>
        <w:gridCol w:w="121"/>
        <w:gridCol w:w="109"/>
        <w:gridCol w:w="109"/>
        <w:gridCol w:w="109"/>
        <w:gridCol w:w="109"/>
        <w:gridCol w:w="109"/>
        <w:gridCol w:w="273"/>
        <w:gridCol w:w="922"/>
        <w:gridCol w:w="151"/>
        <w:gridCol w:w="109"/>
        <w:gridCol w:w="109"/>
        <w:gridCol w:w="109"/>
        <w:gridCol w:w="196"/>
        <w:gridCol w:w="751"/>
        <w:gridCol w:w="160"/>
      </w:tblGrid>
      <w:tr>
        <w:trPr/>
        <w:tc>
          <w:tcPr>
            <w:tcW w:w="6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3"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c>
          <w:tcPr>
            <w:tcW w:w="1434" w:type="dxa"/>
            <w:gridSpan w:val="6"/>
            <w:tcBorders/>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Ports and Terminals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Repauno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655</w:t>
            </w: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2,773</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Rail revenues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88,384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88,804</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Terminal services revenues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23,661</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419</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29,780</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Roadside services revenues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15,497</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15,497</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Power revenues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42,568</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42,568</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revenues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5,857</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5,857</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1,489</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92,154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24,316</w:t>
            </w: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48,844</w:t>
            </w: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15,917</w:t>
            </w:r>
            <w:r>
              <w:rPr>
                <w:color w:val="000000"/>
              </w:rPr>
              <w:t>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186,768</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3"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c>
          <w:tcPr>
            <w:tcW w:w="1434" w:type="dxa"/>
            <w:gridSpan w:val="6"/>
            <w:tcBorders/>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Ports and Terminals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Repauno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1,295</w:t>
            </w: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5,268</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Rail revenues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170,407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171,097</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Terminal services revenues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50,339</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58,088</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Roadside services revenues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28,051</w:t>
            </w: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28,051</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Power revenues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88,196</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88,196</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revenues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21,813</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21,813</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2,619</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177,162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51,634</w:t>
            </w:r>
            <w:r>
              <w:rPr>
                <w:color w:val="000000"/>
              </w:rPr>
              <w:t>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6,745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110,850</w:t>
            </w:r>
            <w:r>
              <w:rPr>
                <w:color w:val="000000"/>
              </w:rPr>
              <w:t>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28,741</w:t>
            </w:r>
            <w:r>
              <w:rPr>
                <w:color w:val="000000"/>
              </w:rPr>
              <w:t>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375,132</w:t>
            </w:r>
            <w:r>
              <w:rPr>
                <w:color w:val="000000"/>
              </w:rPr>
              <w:t>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32740"/>
                <wp:effectExtent l="0" t="0" r="0" b="0"/>
                <wp:wrapNone/>
                <wp:docPr id="28" name="Frame2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tbl>
      <w:tblPr>
        <w:tblW w:w="10205" w:type="dxa"/>
        <w:jc w:val="left"/>
        <w:tblInd w:w="0" w:type="dxa"/>
        <w:tblLayout w:type="fixed"/>
        <w:tblCellMar>
          <w:top w:w="28" w:type="dxa"/>
          <w:left w:w="28" w:type="dxa"/>
          <w:bottom w:w="28" w:type="dxa"/>
          <w:right w:w="28" w:type="dxa"/>
        </w:tblCellMar>
      </w:tblPr>
      <w:tblGrid>
        <w:gridCol w:w="637"/>
        <w:gridCol w:w="483"/>
        <w:gridCol w:w="487"/>
        <w:gridCol w:w="196"/>
        <w:gridCol w:w="646"/>
        <w:gridCol w:w="109"/>
        <w:gridCol w:w="109"/>
        <w:gridCol w:w="109"/>
        <w:gridCol w:w="109"/>
        <w:gridCol w:w="268"/>
        <w:gridCol w:w="888"/>
        <w:gridCol w:w="149"/>
        <w:gridCol w:w="109"/>
        <w:gridCol w:w="109"/>
        <w:gridCol w:w="109"/>
        <w:gridCol w:w="196"/>
        <w:gridCol w:w="556"/>
        <w:gridCol w:w="109"/>
        <w:gridCol w:w="109"/>
        <w:gridCol w:w="109"/>
        <w:gridCol w:w="109"/>
        <w:gridCol w:w="236"/>
        <w:gridCol w:w="780"/>
        <w:gridCol w:w="131"/>
        <w:gridCol w:w="109"/>
        <w:gridCol w:w="109"/>
        <w:gridCol w:w="109"/>
        <w:gridCol w:w="109"/>
        <w:gridCol w:w="109"/>
        <w:gridCol w:w="286"/>
        <w:gridCol w:w="945"/>
        <w:gridCol w:w="159"/>
        <w:gridCol w:w="109"/>
        <w:gridCol w:w="109"/>
        <w:gridCol w:w="109"/>
        <w:gridCol w:w="196"/>
        <w:gridCol w:w="736"/>
        <w:gridCol w:w="159"/>
      </w:tblGrid>
      <w:tr>
        <w:trPr/>
        <w:tc>
          <w:tcPr>
            <w:tcW w:w="63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c>
          <w:tcPr>
            <w:tcW w:w="1418" w:type="dxa"/>
            <w:gridSpan w:val="6"/>
            <w:tcBorders/>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Ports and Terminals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Repauno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Rail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Terminal services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20,743 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Roadside services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Power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21,628 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41,796 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122,286 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c>
          <w:tcPr>
            <w:tcW w:w="1418" w:type="dxa"/>
            <w:gridSpan w:val="6"/>
            <w:tcBorders/>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Ports and Terminals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Repauno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1,765 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Rail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Terminal services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Roadside services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Power revenues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41,077 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59,090 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26,706 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218,447 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and December 31, 2025, we recorded capitalized contract cost of $16.1 million and $18.6 million, of which $4.0 million and $4.9 million are included in Other current assets and $12.1 million and $13.7 million are included in Other assets on the Consolidated Balance Sheets, respectively. Capitalized contract cost is amortized using the straight-line method, over the expected contract term. We recorded $1.2 million of amortization during both the three months ended June 30, 2026 and 2025, and $2.5 million and $2.5 million of amortization, respectively, during the six months ended June 30, 2026 and 2025, which is included in Operating expenses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11. EQUITY-BASED COMPENSATION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August 1, 2022, we established a Nonqualified Stock Option and Incentive Award Plan (“Incentive Plan”), which provides for the ability to grant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pStyle w:val="TextBody"/>
        <w:bidi w:val="0"/>
        <w:spacing w:lineRule="auto" w:line="288" w:before="120" w:after="283"/>
        <w:jc w:val="both"/>
        <w:rPr/>
      </w:pPr>
      <w:r>
        <w:rPr>
          <w:rFonts w:ascii="Arial;sans-serif" w:hAnsi="Arial;sans-serif"/>
          <w:b w:val="false"/>
          <w:color w:val="000000"/>
          <w:sz w:val="18"/>
        </w:rPr>
        <w:t xml:space="preserve">As of June 30, 2026, the Incentive Plan provides for the issuance of up to 30.0 million shares. We account for equity-based compensation expense in accordance with ASC 718, </w:t>
      </w:r>
      <w:r>
        <w:rPr>
          <w:rFonts w:ascii="Arial;sans-serif" w:hAnsi="Arial;sans-serif"/>
          <w:b w:val="false"/>
          <w:i/>
          <w:color w:val="000000"/>
          <w:sz w:val="18"/>
        </w:rPr>
        <w:t>Compensation</w:t>
      </w:r>
      <w:r>
        <w:rPr>
          <w:color w:val="000000"/>
        </w:rPr>
        <w:t xml:space="preserve"> – </w:t>
      </w:r>
      <w:r>
        <w:rPr>
          <w:rFonts w:ascii="Arial;sans-serif" w:hAnsi="Arial;sans-serif"/>
          <w:b w:val="false"/>
          <w:i/>
          <w:color w:val="000000"/>
          <w:sz w:val="18"/>
        </w:rPr>
        <w:t>Stock Compensation</w:t>
      </w:r>
      <w:r>
        <w:rPr>
          <w:color w:val="000000"/>
        </w:rPr>
        <w:t xml:space="preserve"> </w:t>
      </w:r>
      <w:r>
        <w:rPr>
          <w:rFonts w:ascii="Arial;sans-serif" w:hAnsi="Arial;sans-serif"/>
          <w:b w:val="false"/>
          <w:color w:val="000000"/>
          <w:sz w:val="18"/>
        </w:rPr>
        <w:t>and we report equity-based compensation within Operating expenses and General and administrative in the Consolidated Statements of Operations.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Director Compensation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six months ended June 30, 2026, we issued 19,166 shares of common stock to certain directors as compensation.</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Stock Options</w:t>
      </w:r>
    </w:p>
    <w:p>
      <w:pPr>
        <w:pStyle w:val="TextBody"/>
        <w:bidi w:val="0"/>
        <w:spacing w:lineRule="auto" w:line="288" w:before="120" w:after="283"/>
        <w:jc w:val="both"/>
        <w:rPr/>
      </w:pPr>
      <w:r>
        <w:rPr>
          <w:rFonts w:ascii="Arial;sans-serif" w:hAnsi="Arial;sans-serif"/>
          <w:b w:val="false"/>
          <w:color w:val="000000"/>
          <w:sz w:val="18"/>
        </w:rPr>
        <w:t xml:space="preserve">In connection with our February 2025 offering of Series B Preferred Stock ("Convertible Preferred Stock") (see Note </w:t>
      </w:r>
      <w:r>
        <w:rPr>
          <w:rFonts w:ascii="Arial;sans-serif" w:hAnsi="Arial;sans-serif"/>
          <w:b w:val="false"/>
          <w:color w:val="000000"/>
          <w:sz w:val="20"/>
        </w:rPr>
        <w:t>15</w:t>
      </w:r>
      <w:r>
        <w:rPr>
          <w:rFonts w:ascii="Arial;sans-serif" w:hAnsi="Arial;sans-serif"/>
          <w:b w:val="false"/>
          <w:color w:val="000000"/>
          <w:sz w:val="18"/>
        </w:rPr>
        <w:t>), the Company issued to the Manager, options to purchase 2.9 million shares of common stock at a per share exercise price of $5.61, which had a grant date fair value of $7.4 million.</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Subsidiary Stock-Based Compensation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During the six months ended June 30, 2026, we issued restricted shares of our subsidiary that had a grant date fair value of $0.5 million and generally vest over three years. These awards are subject to continued employment, and the compensation expense is recognized ratably over the vesting periods. The fair value of these awards was based on the fair value of the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32740"/>
                <wp:effectExtent l="0" t="0" r="0" b="0"/>
                <wp:wrapNone/>
                <wp:docPr id="29" name="Frame2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subsidiary on each grant date, which was estimated using a discounted cash flow analysis that requires the application of discount factors and terminal multiples to projected cash flows. Discount factors and terminal multiples were based on market-based inputs and transactions, as available at the measurement date.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the expense related to our subsidiary stock-based compensation arrangements recognized in the Consolidated Statements of Operations:</w:t>
      </w:r>
    </w:p>
    <w:tbl>
      <w:tblPr>
        <w:tblW w:w="10205" w:type="dxa"/>
        <w:jc w:val="left"/>
        <w:tblInd w:w="0" w:type="dxa"/>
        <w:tblLayout w:type="fixed"/>
        <w:tblCellMar>
          <w:top w:w="28" w:type="dxa"/>
          <w:left w:w="28" w:type="dxa"/>
          <w:bottom w:w="28" w:type="dxa"/>
          <w:right w:w="28" w:type="dxa"/>
        </w:tblCellMar>
      </w:tblPr>
      <w:tblGrid>
        <w:gridCol w:w="346"/>
        <w:gridCol w:w="304"/>
        <w:gridCol w:w="306"/>
        <w:gridCol w:w="245"/>
        <w:gridCol w:w="714"/>
        <w:gridCol w:w="136"/>
        <w:gridCol w:w="136"/>
        <w:gridCol w:w="136"/>
        <w:gridCol w:w="136"/>
        <w:gridCol w:w="245"/>
        <w:gridCol w:w="526"/>
        <w:gridCol w:w="136"/>
        <w:gridCol w:w="109"/>
        <w:gridCol w:w="109"/>
        <w:gridCol w:w="109"/>
        <w:gridCol w:w="241"/>
        <w:gridCol w:w="704"/>
        <w:gridCol w:w="134"/>
        <w:gridCol w:w="134"/>
        <w:gridCol w:w="134"/>
        <w:gridCol w:w="134"/>
        <w:gridCol w:w="241"/>
        <w:gridCol w:w="519"/>
        <w:gridCol w:w="134"/>
        <w:gridCol w:w="109"/>
        <w:gridCol w:w="109"/>
        <w:gridCol w:w="109"/>
        <w:gridCol w:w="409"/>
        <w:gridCol w:w="1194"/>
        <w:gridCol w:w="229"/>
        <w:gridCol w:w="109"/>
        <w:gridCol w:w="109"/>
        <w:gridCol w:w="109"/>
        <w:gridCol w:w="479"/>
        <w:gridCol w:w="479"/>
        <w:gridCol w:w="693"/>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Expense Recognized During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Expense Recognized During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Expense To Be Recognized, If All Vesting Conditions Are Met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Term (in years)</w:t>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5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3,684</w:t>
            </w: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5,365</w:t>
            </w: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2,136</w:t>
            </w:r>
            <w:r>
              <w:rPr>
                <w:color w:val="000000"/>
              </w:rPr>
              <w:t>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0.4</w:t>
            </w:r>
          </w:p>
        </w:tc>
      </w:tr>
      <w:tr>
        <w:trPr/>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units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889</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1,728</w:t>
            </w: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0.8</w:t>
            </w:r>
          </w:p>
        </w:tc>
      </w:tr>
      <w:tr>
        <w:trPr/>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4,126</w:t>
            </w:r>
            <w:r>
              <w:rPr>
                <w:color w:val="000000"/>
              </w:rPr>
              <w:t>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6,254</w:t>
            </w: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3,864</w:t>
            </w:r>
            <w:r>
              <w:rPr>
                <w:color w:val="000000"/>
              </w:rPr>
              <w:t>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r>
      <w:tr>
        <w:trPr/>
        <w:tc>
          <w:tcPr>
            <w:tcW w:w="95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Restricted Stock Units to Subsidiary Employees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six months ended June 30, 2026, we issued restricted stock units (“RSUs”) of our common stock that had a grant date fair value of $16.1 million, based on the closing price of FIP’s stock on the grant date, and vest over three years. These awards were made to employees of certain of our subsidiaries, are subject to continued employment, and the compensation expense is recognized ratably over the vesting periods.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the expense related to our RSUs to subsidiary employees recognized in the Consolidated Statements of Operations:</w:t>
      </w:r>
    </w:p>
    <w:tbl>
      <w:tblPr>
        <w:tblW w:w="10205" w:type="dxa"/>
        <w:jc w:val="left"/>
        <w:tblInd w:w="0" w:type="dxa"/>
        <w:tblLayout w:type="fixed"/>
        <w:tblCellMar>
          <w:top w:w="28" w:type="dxa"/>
          <w:left w:w="28" w:type="dxa"/>
          <w:bottom w:w="28" w:type="dxa"/>
          <w:right w:w="28" w:type="dxa"/>
        </w:tblCellMar>
      </w:tblPr>
      <w:tblGrid>
        <w:gridCol w:w="357"/>
        <w:gridCol w:w="314"/>
        <w:gridCol w:w="316"/>
        <w:gridCol w:w="240"/>
        <w:gridCol w:w="699"/>
        <w:gridCol w:w="133"/>
        <w:gridCol w:w="133"/>
        <w:gridCol w:w="133"/>
        <w:gridCol w:w="133"/>
        <w:gridCol w:w="240"/>
        <w:gridCol w:w="516"/>
        <w:gridCol w:w="133"/>
        <w:gridCol w:w="109"/>
        <w:gridCol w:w="109"/>
        <w:gridCol w:w="109"/>
        <w:gridCol w:w="230"/>
        <w:gridCol w:w="776"/>
        <w:gridCol w:w="127"/>
        <w:gridCol w:w="127"/>
        <w:gridCol w:w="127"/>
        <w:gridCol w:w="127"/>
        <w:gridCol w:w="230"/>
        <w:gridCol w:w="652"/>
        <w:gridCol w:w="127"/>
        <w:gridCol w:w="109"/>
        <w:gridCol w:w="109"/>
        <w:gridCol w:w="109"/>
        <w:gridCol w:w="393"/>
        <w:gridCol w:w="1145"/>
        <w:gridCol w:w="219"/>
        <w:gridCol w:w="109"/>
        <w:gridCol w:w="109"/>
        <w:gridCol w:w="109"/>
        <w:gridCol w:w="463"/>
        <w:gridCol w:w="463"/>
        <w:gridCol w:w="671"/>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Expense Recognized During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Expense Recognized During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Expense To Be Recognized, If All Vesting Conditions Are Met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Term (in years)</w:t>
            </w:r>
          </w:p>
        </w:tc>
      </w:tr>
      <w:tr>
        <w:trPr/>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1,244</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10,088</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5,821</w:t>
            </w: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1,244</w:t>
            </w:r>
            <w:r>
              <w:rPr>
                <w:color w:val="000000"/>
              </w:rPr>
              <w:t>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10,088</w:t>
            </w:r>
            <w:r>
              <w:rPr>
                <w:color w:val="000000"/>
              </w:rPr>
              <w:t>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5,821</w:t>
            </w:r>
            <w:r>
              <w:rPr>
                <w:color w:val="000000"/>
              </w:rPr>
              <w:t>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12. INCOME TAXES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Taxable income or loss generated by us and our corporate subsidiaries is subject to U.S. federal and state corporate income tax in locations where they conduct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 valuation allowance has been established against our net U.S. federal and state deferred tax assets, including net operating loss carryforwards. As a result, our income tax provision is primarily related to separate company state taxes, deferred taxes for tax deductible goodwill, and deferred taxes for certain long-lived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effective tax rate differs from the U.S. federal tax rate of 21% primarily due to the tax benefit associated with the current year net loss of certain subsidiaries that has been offset by a corresponding increase in the valuation allowance recorded against deferred tax assets and the change in valuation allowance associated with the Long Ridge Energy &amp; Power LLC assets held for sale.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and for the six months ended June 30, 2026, we had not established a liability for uncertain tax positions as no such positions existed. In general, our tax returns and the tax returns of our corporate subsidiaries are subject to U.S. federal, state and local income tax examinations by tax authorities. Generally, we are not subject to examination by taxing authorities for tax years prior to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July 4, 2025, the One Big Beautiful Bill Act (“OBBBA”) was enacted in the U.S. The OBBBA includes significant changes to the U.S. federal tax law, such as an elective deduction for domestic research and experimental expenditures, and changes to interest expense limitations under Section 163(j). We have incorporated these amendments into the income tax provision which did not have a material impact on the Company’s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13. MANAGEMENT AGREEMENT AND AFFILIATE TRANSACTIONS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externally managed by the Manager. The Manager is paid annual fees and incentive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On July 31, 2022, in connection with the spin-off, we and the Manager entered into the Management Agreement with an initial term of six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32740"/>
                <wp:effectExtent l="0" t="0" r="0" b="0"/>
                <wp:wrapNone/>
                <wp:docPr id="30" name="Frame2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Manager is entitled to a management fee, incentive fees (comprised of an Income Incentive Fee and a Capital Gains Incentive Fee described below) and reimbursement of certain expenses. The management fee is determined by taking the average value of total equity (including preferred stock and excluding non-controlling common interests) of the Company determined on a consolidated basis in accordance with U.S. GAAP at the end of the two most recently completed months multiplied by an annual rate of 1.50%, and is payable monthly in arrears in cash.</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Income Incentive Fee is calculated and distributable quarterly in arrears based on the pre-incentive fee net income for the immediately preceding calendar quarter (the “Income Incentive Fee”). For this purpose, pre-incentive fee net income means, with respect to a calendar quarter, net income attributable to common stockholders during such quarter calculated in accordance with U.S. GAAP excluding our pro rata share of (1) realized or unrealized gains and losses, and (2) certain non-cash or one-time items, and (3) any other adjustments as may be approved by the independent directors. Pre-incentive allocation net income does not include any Income Incentive Fee or Capital Gains Incentive Fee (described below) paid to the Manager during the relevant quarter.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Manager is entitled to an Income Incentive Fee with respect to its pre-incentive fee net income in each calendar quarter as follows: (1) no Income Incentive Fee in any calendar quarter in which pre-incentive fee net income, expressed as a rate of return on the average value of the Company’s net equity capital (excluding non-controlling interests) at the end of the two most recently completed calendar quarters, does not exceed 2% for such quarter (8% annualized); (2) 100% of pre-incentive fee net income of the Company with respect to that portion of such pre-incentive fee net income, if any, that equals or exceeds 2% but does not exceed 2.2223% for such quarter; and (3) 10% of pre-incentive fee net income of the Company, if any, that exceeds 2.2223% for portions of such quarter. These calculations will be prorated for any periods of less than three months.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Capital Gains Incentive Fee is calculated and paid in arrears as of the end of each calendar year and is equal to 10% of our pro rata share of cumulative realized gains from the date of the spin-off through the end of the applicable calendar year, net of our pro rata share of cumulative realized or unrealized losses, the cumulative non-cash portion of equity-based compensation expenses and all realized gains upon which prior performance-based Capital Gains Incentive Fee payments were made to the Manager.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Management fee, Income Incentive Fee, and Capital Gains Incentive Fee that are attributable to the operations of FTAI Infrastructure are recorded in the Management fees and incentive allocation to affiliate on the Consolidated Statements of Operations. These amounts are allocated on the following basis:</w:t>
      </w:r>
    </w:p>
    <w:p>
      <w:pPr>
        <w:pStyle w:val="TextBody"/>
        <w:bidi w:val="0"/>
        <w:spacing w:lineRule="auto" w:line="288" w:before="120" w:after="283"/>
        <w:jc w:val="both"/>
        <w:rPr/>
      </w:pPr>
      <w:r>
        <w:rPr>
          <w:rFonts w:ascii="Arial;sans-serif" w:hAnsi="Arial;sans-serif"/>
          <w:b w:val="false"/>
          <w:i/>
          <w:color w:val="000000"/>
          <w:sz w:val="18"/>
        </w:rPr>
        <w:t>Management fee</w:t>
      </w:r>
      <w:r>
        <w:rPr>
          <w:color w:val="000000"/>
        </w:rPr>
        <w:t>—</w:t>
      </w:r>
      <w:r>
        <w:rPr>
          <w:rFonts w:ascii="Arial;sans-serif" w:hAnsi="Arial;sans-serif"/>
          <w:b w:val="false"/>
          <w:color w:val="000000"/>
          <w:sz w:val="18"/>
        </w:rPr>
        <w:t>Management fee is allocated to FTAI Infrastructure by applying the calculation methodology described above to the equity of FTAI Infrastructure included in these consolidated financial statements.</w:t>
      </w:r>
    </w:p>
    <w:p>
      <w:pPr>
        <w:pStyle w:val="TextBody"/>
        <w:bidi w:val="0"/>
        <w:spacing w:lineRule="auto" w:line="288" w:before="120" w:after="283"/>
        <w:jc w:val="both"/>
        <w:rPr/>
      </w:pPr>
      <w:r>
        <w:rPr>
          <w:rFonts w:ascii="Arial;sans-serif" w:hAnsi="Arial;sans-serif"/>
          <w:b w:val="false"/>
          <w:i/>
          <w:color w:val="000000"/>
          <w:sz w:val="18"/>
        </w:rPr>
        <w:t>Income Incentive Allocation and Capital Gains Incentive Allocation</w:t>
      </w:r>
      <w:r>
        <w:rPr>
          <w:color w:val="000000"/>
        </w:rPr>
        <w:t>—</w:t>
      </w:r>
      <w:r>
        <w:rPr>
          <w:rFonts w:ascii="Arial;sans-serif" w:hAnsi="Arial;sans-serif"/>
          <w:b w:val="false"/>
          <w:color w:val="000000"/>
          <w:sz w:val="18"/>
        </w:rPr>
        <w:t>The Income Incentive Fee and Capital Gains Incentive Fee are allocated to FTAI Infrastructure by applying the allocation calculation methodology described above to FTAI Infrastructure’s financial results in each respective period.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summarizes the management fees, income incentive allocation and capital gains incentive allocation included in these consolidated financial statements:</w:t>
      </w:r>
    </w:p>
    <w:tbl>
      <w:tblPr>
        <w:tblW w:w="7080" w:type="dxa"/>
        <w:jc w:val="left"/>
        <w:tblInd w:w="0" w:type="dxa"/>
        <w:tblLayout w:type="fixed"/>
        <w:tblCellMar>
          <w:top w:w="28" w:type="dxa"/>
          <w:left w:w="28" w:type="dxa"/>
          <w:bottom w:w="28" w:type="dxa"/>
          <w:right w:w="28" w:type="dxa"/>
        </w:tblCellMar>
      </w:tblPr>
      <w:tblGrid>
        <w:gridCol w:w="727"/>
        <w:gridCol w:w="639"/>
        <w:gridCol w:w="643"/>
        <w:gridCol w:w="233"/>
        <w:gridCol w:w="680"/>
        <w:gridCol w:w="129"/>
        <w:gridCol w:w="129"/>
        <w:gridCol w:w="129"/>
        <w:gridCol w:w="129"/>
        <w:gridCol w:w="233"/>
        <w:gridCol w:w="662"/>
        <w:gridCol w:w="129"/>
        <w:gridCol w:w="109"/>
        <w:gridCol w:w="109"/>
        <w:gridCol w:w="109"/>
        <w:gridCol w:w="213"/>
        <w:gridCol w:w="621"/>
        <w:gridCol w:w="118"/>
        <w:gridCol w:w="118"/>
        <w:gridCol w:w="118"/>
        <w:gridCol w:w="118"/>
        <w:gridCol w:w="213"/>
        <w:gridCol w:w="605"/>
        <w:gridCol w:w="167"/>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Management fee</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3,677</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7,769</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6,222 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incentive fee</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Capital gains incentive fee</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3,677</w:t>
            </w:r>
            <w:r>
              <w:rPr>
                <w:color w:val="000000"/>
              </w:rPr>
              <w:t>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3,680 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7,769</w:t>
            </w:r>
            <w:r>
              <w:rPr>
                <w:color w:val="000000"/>
              </w:rPr>
              <w:t>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6,222 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pay all of our operating expenses, except those specifically required to be borne by the Manager under the Management Agreement. The expenses required to be paid by the Company include, but are not limited to, issuance and transaction costs incident to the acquisition, disposition and financing of its assets, legal and auditing fees and expenses, the compensation and expenses of the Company’s independent directors, the costs associated with the establishment and maintenance of any credit facilities and other indebtedness (including commitment fees, legal fees, closing costs, etc.), expenses associated with other securities offerings, costs and expenses incurred in contracting with third parties (including affiliates of the Manager), the costs of printing and mailing proxies and reports to the stockholders, costs incurred by the Manager or its affiliates for travel on our behalf, costs associated with any computer software or hardware that is used by the Company, costs to obtain liability insurance to indemnify the Company’s directors and officers and the compensation and expenses of the transfer agent.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do not reimburse the Manager for these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32740"/>
                <wp:effectExtent l="0" t="0" r="0" b="0"/>
                <wp:wrapNone/>
                <wp:docPr id="31" name="Frame3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summarizes our reimbursements to the Manager:</w:t>
      </w:r>
    </w:p>
    <w:tbl>
      <w:tblPr>
        <w:tblW w:w="9526" w:type="dxa"/>
        <w:jc w:val="left"/>
        <w:tblInd w:w="0" w:type="dxa"/>
        <w:tblLayout w:type="fixed"/>
        <w:tblCellMar>
          <w:top w:w="28" w:type="dxa"/>
          <w:left w:w="28" w:type="dxa"/>
          <w:bottom w:w="28" w:type="dxa"/>
          <w:right w:w="28" w:type="dxa"/>
        </w:tblCellMar>
      </w:tblPr>
      <w:tblGrid>
        <w:gridCol w:w="1611"/>
        <w:gridCol w:w="1418"/>
        <w:gridCol w:w="1426"/>
        <w:gridCol w:w="233"/>
        <w:gridCol w:w="680"/>
        <w:gridCol w:w="129"/>
        <w:gridCol w:w="129"/>
        <w:gridCol w:w="129"/>
        <w:gridCol w:w="129"/>
        <w:gridCol w:w="233"/>
        <w:gridCol w:w="662"/>
        <w:gridCol w:w="129"/>
        <w:gridCol w:w="109"/>
        <w:gridCol w:w="109"/>
        <w:gridCol w:w="109"/>
        <w:gridCol w:w="213"/>
        <w:gridCol w:w="621"/>
        <w:gridCol w:w="118"/>
        <w:gridCol w:w="118"/>
        <w:gridCol w:w="118"/>
        <w:gridCol w:w="118"/>
        <w:gridCol w:w="213"/>
        <w:gridCol w:w="605"/>
        <w:gridCol w:w="167"/>
      </w:tblGrid>
      <w:tr>
        <w:trPr/>
        <w:tc>
          <w:tcPr>
            <w:tcW w:w="161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Classification in the Consolidated Statements of Operations:</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1,710</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1,146</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1,908</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2,856</w:t>
            </w:r>
            <w:r>
              <w:rPr>
                <w:color w:val="000000"/>
              </w:rPr>
              <w:t>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2,432 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5,099</w:t>
            </w:r>
            <w:r>
              <w:rPr>
                <w:color w:val="000000"/>
              </w:rPr>
              <w:t>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4,787 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we terminate the Management Agreement, we will generally be required to pay the Manager a termination fee. Pursuant to the terms of the Management Agreement, the termination fee is equal to the amount of the management fee during the 12 months immediately preceding such termination and an amount equal to the Income Incentive Fee and the Capital Gains Incentive Fee that would be paid to the Manager if the Company’s assets were sold for cash at their then current fair market value (as determined by an appraisal, taking into account, among other things, the expected future value of the underlying investments).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Upon the successful completion of an offering of our common stock or other equity securities (including securities issued as consideration in an acquisition), we grant the Manager options to purchase common stock in an amount equal to 10% of the number of common stock being sold in the offering (or if the issuance relates to equity securities other than our common stock, options to purchase an amount of common stock equal to 10% of the gross capital raised in the equity issuance divided by the fair market value of our common stock as of the date of issuance), with an exercise price equal to the offering price per share paid by the public or other ultimate purchaser or attributed to such securities in connection with an acquisition (or the fair market value of our common stock as of the date of the equity issuance if it relates to equity securities other than our common stock). Any ultimate purchaser of common stock for which such options are granted may be an affiliate of Fortress. In connection with the spin-off, we issued 10.9 million options to purchase common stock to the Manager, with a term of 10 years and strike price of $2.76 as compensation for services rendered in connection with the Redeemable Preferred Stock raise, as discussed in Note 15. On August 12, 2024, 8.7 million Manager options were exercised. In February 2025, we issued 2.9 million options to purchase common stock to the Manager, with a term of 10 years and a strike price of $5.61 as compensation for services rendered in connection with the offering of Series B Preferred Stock as discussed in Note 15.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summarizes amounts due to the Manager, which are included within Accounts payable and accrued liabilities in the Consolidated Balance Sheets:</w:t>
      </w:r>
    </w:p>
    <w:tbl>
      <w:tblPr>
        <w:tblW w:w="5201" w:type="dxa"/>
        <w:jc w:val="left"/>
        <w:tblInd w:w="0" w:type="dxa"/>
        <w:tblLayout w:type="fixed"/>
        <w:tblCellMar>
          <w:top w:w="28" w:type="dxa"/>
          <w:left w:w="28" w:type="dxa"/>
          <w:bottom w:w="28" w:type="dxa"/>
          <w:right w:w="28" w:type="dxa"/>
        </w:tblCellMar>
      </w:tblPr>
      <w:tblGrid>
        <w:gridCol w:w="755"/>
        <w:gridCol w:w="663"/>
        <w:gridCol w:w="667"/>
        <w:gridCol w:w="262"/>
        <w:gridCol w:w="763"/>
        <w:gridCol w:w="145"/>
        <w:gridCol w:w="109"/>
        <w:gridCol w:w="109"/>
        <w:gridCol w:w="109"/>
        <w:gridCol w:w="318"/>
        <w:gridCol w:w="1051"/>
        <w:gridCol w:w="250"/>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management fees</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7,769</w:t>
            </w: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12,172 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payables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6,799</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18"/>
        </w:rPr>
        <w:t>As of June 30, 2026 and December 31, 2025, there w</w:t>
      </w:r>
      <w:r>
        <w:rPr>
          <w:rFonts w:ascii="Arial;sans-serif" w:hAnsi="Arial;sans-serif"/>
          <w:b w:val="false"/>
          <w:color w:val="000000"/>
          <w:sz w:val="18"/>
          <w:shd w:fill="FFFFFF" w:val="clear"/>
        </w:rPr>
        <w:t xml:space="preserve">ere no </w:t>
      </w:r>
      <w:r>
        <w:rPr>
          <w:rFonts w:ascii="Arial;sans-serif" w:hAnsi="Arial;sans-serif"/>
          <w:b w:val="false"/>
          <w:color w:val="000000"/>
          <w:sz w:val="18"/>
        </w:rPr>
        <w:t>receivables from the Manager.</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Affiliate Transactions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and December 31, 2025, certain employees of the Manager and their related parties collectively own an approximately 20% interest in Jefferson Terminal which has been accounted for as a component of non-controlling interest in consolidated subsidiaries in the accompanying consolidated financial statements. The carrying amount of this non-controlling interest at June 30, 2026 and December 31, 2025 was $(187.5) million and $(162.8) million, respectively.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the amount of this non-controlling interest share of net loss:</w:t>
      </w:r>
    </w:p>
    <w:tbl>
      <w:tblPr>
        <w:tblW w:w="8265" w:type="dxa"/>
        <w:jc w:val="left"/>
        <w:tblInd w:w="0" w:type="dxa"/>
        <w:tblLayout w:type="fixed"/>
        <w:tblCellMar>
          <w:top w:w="28" w:type="dxa"/>
          <w:left w:w="28" w:type="dxa"/>
          <w:bottom w:w="28" w:type="dxa"/>
          <w:right w:w="28" w:type="dxa"/>
        </w:tblCellMar>
      </w:tblPr>
      <w:tblGrid>
        <w:gridCol w:w="1107"/>
        <w:gridCol w:w="974"/>
        <w:gridCol w:w="979"/>
        <w:gridCol w:w="202"/>
        <w:gridCol w:w="745"/>
        <w:gridCol w:w="112"/>
        <w:gridCol w:w="112"/>
        <w:gridCol w:w="112"/>
        <w:gridCol w:w="112"/>
        <w:gridCol w:w="202"/>
        <w:gridCol w:w="745"/>
        <w:gridCol w:w="112"/>
        <w:gridCol w:w="109"/>
        <w:gridCol w:w="109"/>
        <w:gridCol w:w="109"/>
        <w:gridCol w:w="196"/>
        <w:gridCol w:w="721"/>
        <w:gridCol w:w="109"/>
        <w:gridCol w:w="109"/>
        <w:gridCol w:w="109"/>
        <w:gridCol w:w="109"/>
        <w:gridCol w:w="196"/>
        <w:gridCol w:w="721"/>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 share of net loss</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(11,075)</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(10,580)</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(24,754)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(21,664)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October 2022, we entered into a shareholder loan agreement with Long Ridge. Refer to Note 2 for additional information post acquisition.</w:t>
      </w:r>
    </w:p>
    <w:p>
      <w:pPr>
        <w:pStyle w:val="TextBody"/>
        <w:bidi w:val="0"/>
        <w:spacing w:lineRule="auto" w:line="288" w:before="120" w:after="283"/>
        <w:jc w:val="both"/>
        <w:rPr/>
      </w:pPr>
      <w:r>
        <w:rPr>
          <w:rFonts w:ascii="Arial;sans-serif" w:hAnsi="Arial;sans-serif"/>
          <w:b w:val="false"/>
          <w:color w:val="000000"/>
          <w:sz w:val="18"/>
        </w:rPr>
        <w:t>The Company subleases a portion of office space from an entity controlled by certain employees of the Manager since February 2023. For the six months ended June 30, 2026 and 2025, the Company incurred approximately $1.6 million an</w:t>
      </w:r>
      <w:r>
        <w:rPr>
          <w:rFonts w:ascii="Arial;sans-serif" w:hAnsi="Arial;sans-serif"/>
          <w:b w:val="false"/>
          <w:color w:val="000000"/>
          <w:sz w:val="18"/>
          <w:shd w:fill="FFFFFF" w:val="clear"/>
        </w:rPr>
        <w:t>d $0.2 million</w:t>
      </w:r>
      <w:r>
        <w:rPr>
          <w:color w:val="000000"/>
        </w:rPr>
        <w:t xml:space="preserve"> </w:t>
      </w:r>
      <w:r>
        <w:rPr>
          <w:rFonts w:ascii="Arial;sans-serif" w:hAnsi="Arial;sans-serif"/>
          <w:b w:val="false"/>
          <w:color w:val="000000"/>
          <w:sz w:val="18"/>
        </w:rPr>
        <w:t>of rent and office related expenses, respectively.</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On May 14, 2024, certain members of Fortress management and affiliates of Mubadala Investment Company, through its wholly owned asset management subsidiary, Mubadala Capital (“Mubadala”), completed their acquisition of 100% of the equity of Fortress. Fortress continues to operate as an independent investment manager under the Fortress brand, with autonomy over investment processes and decision making, personnel and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32740"/>
                <wp:effectExtent l="0" t="0" r="0" b="0"/>
                <wp:wrapNone/>
                <wp:docPr id="32" name="Frame3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14. SEGMENT INFORMATION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reportable segments represent strategic business units comprised of investments in different types of infrastructure assets. We have five reportable segments which operate in infrastructure businesses across several market sectors, all in North America. Our reportable segments are (i) Railroad, (ii) Jefferson Terminal, (iii) Repauno, (iv) Power and Gas and (v) Sustainability and Energy Transition.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April 29, 2026, we entered into the Agreement to sell Long Ridge Energy &amp; Power LLC (see Note 2 for additional details), subject to the receipt of certain regulatory approvals expected to be received within 12 months of the signing of such agreement. As such, we have recorded Long Ridge Energy &amp; Power LLC, included in our Power and Gas segment, as held-for-sale as of the date of the Agreement through regulatory approval and closing of the sale. On June 29, 2026, we acquired Tidewater, a barge and rail transloading company with operations in Ohio, West Virginia and Texas (see Note 2 for additional details), which will be included in our Railroad segment as of the acquisition date. Additionally, on June 30, 2026, we sold our KRS business (see Note 2 for additional details), which was included within the Corporate and Other segment.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Adjusted EBITDA is defined as net income (loss) attributable to common stockholders, adjusted (a) to exclude the impact of provision for (benefit from) income taxes, equity-based compensation expense, acquisition and transaction expenses, gains (losses) on the modification or extinguishment of debt and capital lease obligations, changes in fair value of non-hedge derivative instruments, asset impairment charges, incentive allocations, depreciation and amortization expense, interest expense, interest and other costs on pension and OPEB liabilities, dividends and accretion of redeemable and convertible preferred stock, and other non-recurring items, (b) to include the impact of our pro-rata share of Adjusted EBITDA from unconsolidated entities, and (c) to exclude the impact of equity in earnings (losses) of unconsolidated entities and the non-controlling share of Adjusted EBITDA.</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believe that net income (loss) attributable to common stockholders, as defined by U.S. GAAP, is the most appropriate earnings measure with which to reconcile Adjusted EBITDA. Adjusted EBITDA should not be considered as an alternative to net income (loss) attributable to common stockholders as determined in accordance with U.S. GAAP. Segment information for prior periods has been recast to conform to the current period presentation of net income (loss) attributable to common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32740"/>
                <wp:effectExtent l="0" t="0" r="0" b="0"/>
                <wp:wrapNone/>
                <wp:docPr id="33" name="Frame3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tables set forth certain information for each reportable segment as provided to and evaluated by the CODM:</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I. For the Three Months Ended June 30, 2026</w:t>
      </w:r>
    </w:p>
    <w:tbl>
      <w:tblPr>
        <w:tblW w:w="10205" w:type="dxa"/>
        <w:jc w:val="left"/>
        <w:tblInd w:w="0" w:type="dxa"/>
        <w:tblLayout w:type="fixed"/>
        <w:tblCellMar>
          <w:top w:w="28" w:type="dxa"/>
          <w:left w:w="28" w:type="dxa"/>
          <w:bottom w:w="28" w:type="dxa"/>
          <w:right w:w="28" w:type="dxa"/>
        </w:tblCellMar>
      </w:tblPr>
      <w:tblGrid>
        <w:gridCol w:w="641"/>
        <w:gridCol w:w="287"/>
        <w:gridCol w:w="288"/>
        <w:gridCol w:w="196"/>
        <w:gridCol w:w="661"/>
        <w:gridCol w:w="109"/>
        <w:gridCol w:w="109"/>
        <w:gridCol w:w="109"/>
        <w:gridCol w:w="109"/>
        <w:gridCol w:w="196"/>
        <w:gridCol w:w="661"/>
        <w:gridCol w:w="109"/>
        <w:gridCol w:w="109"/>
        <w:gridCol w:w="109"/>
        <w:gridCol w:w="109"/>
        <w:gridCol w:w="196"/>
        <w:gridCol w:w="571"/>
        <w:gridCol w:w="109"/>
        <w:gridCol w:w="109"/>
        <w:gridCol w:w="109"/>
        <w:gridCol w:w="109"/>
        <w:gridCol w:w="196"/>
        <w:gridCol w:w="661"/>
        <w:gridCol w:w="109"/>
        <w:gridCol w:w="109"/>
        <w:gridCol w:w="109"/>
        <w:gridCol w:w="109"/>
        <w:gridCol w:w="313"/>
        <w:gridCol w:w="697"/>
        <w:gridCol w:w="176"/>
        <w:gridCol w:w="109"/>
        <w:gridCol w:w="109"/>
        <w:gridCol w:w="109"/>
        <w:gridCol w:w="196"/>
        <w:gridCol w:w="661"/>
        <w:gridCol w:w="109"/>
        <w:gridCol w:w="109"/>
        <w:gridCol w:w="109"/>
        <w:gridCol w:w="109"/>
        <w:gridCol w:w="196"/>
        <w:gridCol w:w="751"/>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Ports and Terminals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Repauno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Sustainability and Energy Transition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92,154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48,844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186,768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51,334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24,923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117,333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6,021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39,511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60,380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63,188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30,737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92,657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w:t>
            </w: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27,524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233,404</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sale of assets,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modification or extinguishment of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839</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3,287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(expense) income</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(25,317)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w:t>
            </w: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(64,489)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(104,383)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17,529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(19,496)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(69,130)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w:t>
            </w:r>
            <w:r>
              <w:rPr>
                <w:color w:val="000000"/>
              </w:rPr>
              <w:t>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(76,096)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(151,019)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(11,576)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(19,632)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(54,179)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w:t>
            </w:r>
            <w:r>
              <w:rPr>
                <w:color w:val="000000"/>
              </w:rPr>
              <w:t>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(76,096)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(139,443)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income attributable to non-controlling interests in consolidated subsidiaries - common stockholders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(11,075)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(11,377)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Preferred dividends and accretion on redeemable non-controlling interests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33,230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and accretion of redeemable preferred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Convertible preferred stock dividend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4,511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 attributable to common stockholders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(18,839)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(8,557)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(3,807)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(54,104)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w:t>
            </w:r>
            <w:r>
              <w:rPr>
                <w:color w:val="000000"/>
              </w:rPr>
              <w:t>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(81,319)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(166,464)</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023" w:type="dxa"/>
            <w:gridSpan w:val="36"/>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32740"/>
                <wp:effectExtent l="0" t="0" r="0" b="0"/>
                <wp:wrapNone/>
                <wp:docPr id="34" name="Frame3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loss attributable to common stockholders:</w:t>
      </w:r>
    </w:p>
    <w:tbl>
      <w:tblPr>
        <w:tblW w:w="10205" w:type="dxa"/>
        <w:jc w:val="left"/>
        <w:tblInd w:w="0" w:type="dxa"/>
        <w:tblLayout w:type="fixed"/>
        <w:tblCellMar>
          <w:top w:w="28" w:type="dxa"/>
          <w:left w:w="28" w:type="dxa"/>
          <w:bottom w:w="28" w:type="dxa"/>
          <w:right w:w="28" w:type="dxa"/>
        </w:tblCellMar>
      </w:tblPr>
      <w:tblGrid>
        <w:gridCol w:w="679"/>
        <w:gridCol w:w="268"/>
        <w:gridCol w:w="269"/>
        <w:gridCol w:w="196"/>
        <w:gridCol w:w="661"/>
        <w:gridCol w:w="109"/>
        <w:gridCol w:w="109"/>
        <w:gridCol w:w="109"/>
        <w:gridCol w:w="109"/>
        <w:gridCol w:w="196"/>
        <w:gridCol w:w="661"/>
        <w:gridCol w:w="109"/>
        <w:gridCol w:w="109"/>
        <w:gridCol w:w="109"/>
        <w:gridCol w:w="109"/>
        <w:gridCol w:w="196"/>
        <w:gridCol w:w="571"/>
        <w:gridCol w:w="109"/>
        <w:gridCol w:w="109"/>
        <w:gridCol w:w="109"/>
        <w:gridCol w:w="109"/>
        <w:gridCol w:w="196"/>
        <w:gridCol w:w="661"/>
        <w:gridCol w:w="109"/>
        <w:gridCol w:w="109"/>
        <w:gridCol w:w="109"/>
        <w:gridCol w:w="109"/>
        <w:gridCol w:w="313"/>
        <w:gridCol w:w="697"/>
        <w:gridCol w:w="176"/>
        <w:gridCol w:w="109"/>
        <w:gridCol w:w="109"/>
        <w:gridCol w:w="109"/>
        <w:gridCol w:w="196"/>
        <w:gridCol w:w="661"/>
        <w:gridCol w:w="109"/>
        <w:gridCol w:w="109"/>
        <w:gridCol w:w="109"/>
        <w:gridCol w:w="109"/>
        <w:gridCol w:w="196"/>
        <w:gridCol w:w="751"/>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Ports and Terminals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Repauno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Sustainability and Energy Transition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42,356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27,429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w:t>
            </w: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76,113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6,502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7,413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losses of unconsolidated entities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and other costs on pension and OPEB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and accretion of redeemable and convertible preferred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(38,398)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560</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benefit from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11,576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 non-recurring items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 attributable to common stockholders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(18,839)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(8,557)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(3,807)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(54,104)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w:t>
            </w:r>
            <w:r>
              <w:rPr>
                <w:color w:val="000000"/>
              </w:rPr>
              <w:t>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(81,319)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(166,464)</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023" w:type="dxa"/>
            <w:gridSpan w:val="36"/>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32740"/>
                <wp:effectExtent l="0" t="0" r="0" b="0"/>
                <wp:wrapNone/>
                <wp:docPr id="35" name="Frame3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II. For the Six Months Ended June 30, 2026</w:t>
      </w:r>
    </w:p>
    <w:tbl>
      <w:tblPr>
        <w:tblW w:w="10565" w:type="dxa"/>
        <w:jc w:val="left"/>
        <w:tblInd w:w="0" w:type="dxa"/>
        <w:tblLayout w:type="fixed"/>
        <w:tblCellMar>
          <w:top w:w="28" w:type="dxa"/>
          <w:left w:w="28" w:type="dxa"/>
          <w:bottom w:w="28" w:type="dxa"/>
          <w:right w:w="28" w:type="dxa"/>
        </w:tblCellMar>
      </w:tblPr>
      <w:tblGrid>
        <w:gridCol w:w="641"/>
        <w:gridCol w:w="287"/>
        <w:gridCol w:w="288"/>
        <w:gridCol w:w="196"/>
        <w:gridCol w:w="751"/>
        <w:gridCol w:w="109"/>
        <w:gridCol w:w="109"/>
        <w:gridCol w:w="109"/>
        <w:gridCol w:w="109"/>
        <w:gridCol w:w="196"/>
        <w:gridCol w:w="661"/>
        <w:gridCol w:w="109"/>
        <w:gridCol w:w="109"/>
        <w:gridCol w:w="109"/>
        <w:gridCol w:w="109"/>
        <w:gridCol w:w="196"/>
        <w:gridCol w:w="661"/>
        <w:gridCol w:w="109"/>
        <w:gridCol w:w="109"/>
        <w:gridCol w:w="109"/>
        <w:gridCol w:w="109"/>
        <w:gridCol w:w="196"/>
        <w:gridCol w:w="751"/>
        <w:gridCol w:w="109"/>
        <w:gridCol w:w="109"/>
        <w:gridCol w:w="109"/>
        <w:gridCol w:w="109"/>
        <w:gridCol w:w="313"/>
        <w:gridCol w:w="697"/>
        <w:gridCol w:w="176"/>
        <w:gridCol w:w="109"/>
        <w:gridCol w:w="109"/>
        <w:gridCol w:w="109"/>
        <w:gridCol w:w="196"/>
        <w:gridCol w:w="751"/>
        <w:gridCol w:w="109"/>
        <w:gridCol w:w="109"/>
        <w:gridCol w:w="109"/>
        <w:gridCol w:w="109"/>
        <w:gridCol w:w="196"/>
        <w:gridCol w:w="751"/>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9"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Ports and Terminals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Repauno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Sustainability and Energy Transition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177,162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110,850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375,132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98,098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44,553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52,698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29,693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237,727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7,228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12,841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38,999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23,984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90,202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60,380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63,188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141,196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68,537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137,609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w:t>
            </w: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53,575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418,955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sale of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modification or extinguishment of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(102,651)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(187,979)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1,576</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6,271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 income</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(34,932)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(47,588)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498</w:t>
            </w: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(144,200)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(230,884)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32,672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(51,835)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(12,544)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(74,347)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381</w:t>
            </w:r>
            <w:r>
              <w:rPr>
                <w:color w:val="000000"/>
              </w:rPr>
              <w:t>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(169,034)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(274,707)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(52,183)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(12,546)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(59,396)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381</w:t>
            </w:r>
            <w:r>
              <w:rPr>
                <w:color w:val="000000"/>
              </w:rPr>
              <w:t>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(169,047)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(266,654)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income attributable to non-controlling interests in consolidated subsidiaries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(25,637)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Preferred dividends and accretion on redeemable non-controlling interests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70,451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70,451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and accretion of redeemable preferred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Convertible preferred stock dividend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8,864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 attributable to common stockholders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(44,053)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(27,429)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(11,972)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(59,275)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381</w:t>
            </w:r>
            <w:r>
              <w:rPr>
                <w:color w:val="000000"/>
              </w:rPr>
              <w:t>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(178,641)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(320,989)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32740"/>
                <wp:effectExtent l="0" t="0" r="0" b="0"/>
                <wp:wrapNone/>
                <wp:docPr id="36" name="Frame3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loss attributable to common stockholders:</w:t>
      </w:r>
    </w:p>
    <w:tbl>
      <w:tblPr>
        <w:tblW w:w="10385" w:type="dxa"/>
        <w:jc w:val="left"/>
        <w:tblInd w:w="0" w:type="dxa"/>
        <w:tblLayout w:type="fixed"/>
        <w:tblCellMar>
          <w:top w:w="28" w:type="dxa"/>
          <w:left w:w="28" w:type="dxa"/>
          <w:bottom w:w="28" w:type="dxa"/>
          <w:right w:w="28" w:type="dxa"/>
        </w:tblCellMar>
      </w:tblPr>
      <w:tblGrid>
        <w:gridCol w:w="679"/>
        <w:gridCol w:w="268"/>
        <w:gridCol w:w="26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313"/>
        <w:gridCol w:w="697"/>
        <w:gridCol w:w="176"/>
        <w:gridCol w:w="109"/>
        <w:gridCol w:w="109"/>
        <w:gridCol w:w="109"/>
        <w:gridCol w:w="196"/>
        <w:gridCol w:w="751"/>
        <w:gridCol w:w="109"/>
        <w:gridCol w:w="109"/>
        <w:gridCol w:w="109"/>
        <w:gridCol w:w="109"/>
        <w:gridCol w:w="196"/>
        <w:gridCol w:w="751"/>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9"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Ports and Terminals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Repauno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Sustainability and Energy Transition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82,589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27,451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53,840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w:t>
            </w:r>
            <w:r>
              <w:rPr>
                <w:color w:val="000000"/>
              </w:rPr>
              <w:t>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(15,582)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146,705</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18,319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losses of unconsolidated entities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and other costs on pension and OPEB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and accretion of redeemable and convertible preferred stock</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(70,451)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(79,972)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1,078</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(102,651)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(187,979)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(82,144)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(47,516)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(16,438)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benefit from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8,053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 non-recurring items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 attributable to common stockholders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(44,053)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(27,429)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(11,972)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(59,275)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381</w:t>
            </w:r>
            <w:r>
              <w:rPr>
                <w:color w:val="000000"/>
              </w:rPr>
              <w:t>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(178,641)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(320,989)</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32740"/>
                <wp:effectExtent l="0" t="0" r="0" b="0"/>
                <wp:wrapNone/>
                <wp:docPr id="37" name="Frame3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III. Three Months Ended June 30, 2025</w:t>
      </w:r>
    </w:p>
    <w:tbl>
      <w:tblPr>
        <w:tblW w:w="10205" w:type="dxa"/>
        <w:jc w:val="left"/>
        <w:tblInd w:w="0" w:type="dxa"/>
        <w:tblLayout w:type="fixed"/>
        <w:tblCellMar>
          <w:top w:w="28" w:type="dxa"/>
          <w:left w:w="28" w:type="dxa"/>
          <w:bottom w:w="28" w:type="dxa"/>
          <w:right w:w="28" w:type="dxa"/>
        </w:tblCellMar>
      </w:tblPr>
      <w:tblGrid>
        <w:gridCol w:w="646"/>
        <w:gridCol w:w="293"/>
        <w:gridCol w:w="294"/>
        <w:gridCol w:w="196"/>
        <w:gridCol w:w="646"/>
        <w:gridCol w:w="109"/>
        <w:gridCol w:w="109"/>
        <w:gridCol w:w="109"/>
        <w:gridCol w:w="109"/>
        <w:gridCol w:w="196"/>
        <w:gridCol w:w="662"/>
        <w:gridCol w:w="109"/>
        <w:gridCol w:w="109"/>
        <w:gridCol w:w="109"/>
        <w:gridCol w:w="109"/>
        <w:gridCol w:w="196"/>
        <w:gridCol w:w="571"/>
        <w:gridCol w:w="109"/>
        <w:gridCol w:w="109"/>
        <w:gridCol w:w="109"/>
        <w:gridCol w:w="109"/>
        <w:gridCol w:w="196"/>
        <w:gridCol w:w="661"/>
        <w:gridCol w:w="109"/>
        <w:gridCol w:w="109"/>
        <w:gridCol w:w="109"/>
        <w:gridCol w:w="109"/>
        <w:gridCol w:w="266"/>
        <w:gridCol w:w="776"/>
        <w:gridCol w:w="148"/>
        <w:gridCol w:w="109"/>
        <w:gridCol w:w="109"/>
        <w:gridCol w:w="109"/>
        <w:gridCol w:w="196"/>
        <w:gridCol w:w="662"/>
        <w:gridCol w:w="109"/>
        <w:gridCol w:w="109"/>
        <w:gridCol w:w="109"/>
        <w:gridCol w:w="109"/>
        <w:gridCol w:w="196"/>
        <w:gridCol w:w="736"/>
        <w:gridCol w:w="161"/>
      </w:tblGrid>
      <w:tr>
        <w:trPr/>
        <w:tc>
          <w:tcPr>
            <w:tcW w:w="6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Ports and Terminals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Repauno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Sustainability and Energy Transition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Management fees and incentive allocation to affiliate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129,080 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modification or extinguishment of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(59,204)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income (expense)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(62,213)</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(69,007)</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(69,959)</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attributable to non-controlling interests in consolidated subsidiaries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(11,100)</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and accretion of redeemable preferred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Convertible preferred stock dividend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common stockholders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(53,484)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(83,898)</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021" w:type="dxa"/>
            <w:gridSpan w:val="36"/>
            <w:tcBorders/>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420" w:type="dxa"/>
            <w:gridSpan w:val="6"/>
            <w:tcBorders/>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23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32740"/>
                <wp:effectExtent l="0" t="0" r="0" b="0"/>
                <wp:wrapNone/>
                <wp:docPr id="38" name="Frame3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left"/>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income (loss) attributable to common stockholders:</w:t>
      </w:r>
    </w:p>
    <w:tbl>
      <w:tblPr>
        <w:tblW w:w="10205" w:type="dxa"/>
        <w:jc w:val="left"/>
        <w:tblInd w:w="0" w:type="dxa"/>
        <w:tblLayout w:type="fixed"/>
        <w:tblCellMar>
          <w:top w:w="28" w:type="dxa"/>
          <w:left w:w="28" w:type="dxa"/>
          <w:bottom w:w="28" w:type="dxa"/>
          <w:right w:w="28" w:type="dxa"/>
        </w:tblCellMar>
      </w:tblPr>
      <w:tblGrid>
        <w:gridCol w:w="698"/>
        <w:gridCol w:w="289"/>
        <w:gridCol w:w="290"/>
        <w:gridCol w:w="196"/>
        <w:gridCol w:w="646"/>
        <w:gridCol w:w="109"/>
        <w:gridCol w:w="109"/>
        <w:gridCol w:w="109"/>
        <w:gridCol w:w="109"/>
        <w:gridCol w:w="197"/>
        <w:gridCol w:w="666"/>
        <w:gridCol w:w="109"/>
        <w:gridCol w:w="109"/>
        <w:gridCol w:w="109"/>
        <w:gridCol w:w="109"/>
        <w:gridCol w:w="196"/>
        <w:gridCol w:w="571"/>
        <w:gridCol w:w="109"/>
        <w:gridCol w:w="109"/>
        <w:gridCol w:w="109"/>
        <w:gridCol w:w="109"/>
        <w:gridCol w:w="196"/>
        <w:gridCol w:w="664"/>
        <w:gridCol w:w="109"/>
        <w:gridCol w:w="109"/>
        <w:gridCol w:w="109"/>
        <w:gridCol w:w="109"/>
        <w:gridCol w:w="269"/>
        <w:gridCol w:w="786"/>
        <w:gridCol w:w="150"/>
        <w:gridCol w:w="109"/>
        <w:gridCol w:w="109"/>
        <w:gridCol w:w="109"/>
        <w:gridCol w:w="197"/>
        <w:gridCol w:w="667"/>
        <w:gridCol w:w="109"/>
        <w:gridCol w:w="109"/>
        <w:gridCol w:w="109"/>
        <w:gridCol w:w="109"/>
        <w:gridCol w:w="196"/>
        <w:gridCol w:w="661"/>
        <w:gridCol w:w="163"/>
      </w:tblGrid>
      <w:tr>
        <w:trPr/>
        <w:tc>
          <w:tcPr>
            <w:tcW w:w="69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Ports and Terminals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Repauno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Sustainability and Energy Transition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45,916 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losses of unconsolidated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and other costs on pension and OPEB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and accretion of redeemable and convertible preferred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(25,039)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(59,204)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(32,086)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benefit from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 non-recurring items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common stockholders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(53,484)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(83,898)</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977" w:type="dxa"/>
            <w:gridSpan w:val="36"/>
            <w:tcBorders/>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1347" w:type="dxa"/>
            <w:gridSpan w:val="6"/>
            <w:tcBorders/>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32740"/>
                <wp:effectExtent l="0" t="0" r="0" b="0"/>
                <wp:wrapNone/>
                <wp:docPr id="39" name="Frame3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both"/>
        <w:rPr>
          <w:rFonts w:ascii="Arial;sans-serif" w:hAnsi="Arial;sans-serif"/>
          <w:b/>
          <w:color w:val="00497F"/>
          <w:sz w:val="18"/>
        </w:rPr>
      </w:pPr>
      <w:r>
        <w:rPr>
          <w:rFonts w:ascii="Arial;sans-serif" w:hAnsi="Arial;sans-serif"/>
          <w:b/>
          <w:color w:val="00497F"/>
          <w:sz w:val="18"/>
        </w:rPr>
        <w:t>IV. For the Six Months Ended June 30, 2025</w:t>
      </w:r>
    </w:p>
    <w:tbl>
      <w:tblPr>
        <w:tblW w:w="10430" w:type="dxa"/>
        <w:jc w:val="left"/>
        <w:tblInd w:w="0" w:type="dxa"/>
        <w:tblLayout w:type="fixed"/>
        <w:tblCellMar>
          <w:top w:w="28" w:type="dxa"/>
          <w:left w:w="28" w:type="dxa"/>
          <w:bottom w:w="28" w:type="dxa"/>
          <w:right w:w="28" w:type="dxa"/>
        </w:tblCellMar>
      </w:tblPr>
      <w:tblGrid>
        <w:gridCol w:w="641"/>
        <w:gridCol w:w="287"/>
        <w:gridCol w:w="288"/>
        <w:gridCol w:w="196"/>
        <w:gridCol w:w="646"/>
        <w:gridCol w:w="109"/>
        <w:gridCol w:w="109"/>
        <w:gridCol w:w="109"/>
        <w:gridCol w:w="109"/>
        <w:gridCol w:w="196"/>
        <w:gridCol w:w="661"/>
        <w:gridCol w:w="109"/>
        <w:gridCol w:w="109"/>
        <w:gridCol w:w="109"/>
        <w:gridCol w:w="109"/>
        <w:gridCol w:w="196"/>
        <w:gridCol w:w="661"/>
        <w:gridCol w:w="109"/>
        <w:gridCol w:w="109"/>
        <w:gridCol w:w="109"/>
        <w:gridCol w:w="109"/>
        <w:gridCol w:w="196"/>
        <w:gridCol w:w="736"/>
        <w:gridCol w:w="109"/>
        <w:gridCol w:w="109"/>
        <w:gridCol w:w="109"/>
        <w:gridCol w:w="109"/>
        <w:gridCol w:w="265"/>
        <w:gridCol w:w="773"/>
        <w:gridCol w:w="148"/>
        <w:gridCol w:w="109"/>
        <w:gridCol w:w="109"/>
        <w:gridCol w:w="109"/>
        <w:gridCol w:w="196"/>
        <w:gridCol w:w="751"/>
        <w:gridCol w:w="109"/>
        <w:gridCol w:w="109"/>
        <w:gridCol w:w="109"/>
        <w:gridCol w:w="109"/>
        <w:gridCol w:w="196"/>
        <w:gridCol w:w="736"/>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Port and Terminals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Repauno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Sustainability and Energy Transition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232,307 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earnings (losses) of unconsolidated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gain on sale of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modification or extinguishment of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income (expense)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(6,054)</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154,957 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50,205 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attributable to non-controlling interests in consolidated subsidiaries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and accretion of redeemable preferred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Convertible preferred stock dividend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common stockholders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(27,094)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(16,403)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154,957 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(102,104)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24,359 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32740"/>
                <wp:effectExtent l="0" t="0" r="0" b="0"/>
                <wp:wrapNone/>
                <wp:docPr id="40" name="Frame3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left"/>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income (loss) attributable to common stockholders:</w:t>
      </w:r>
    </w:p>
    <w:tbl>
      <w:tblPr>
        <w:tblW w:w="10430" w:type="dxa"/>
        <w:jc w:val="left"/>
        <w:tblInd w:w="0" w:type="dxa"/>
        <w:tblLayout w:type="fixed"/>
        <w:tblCellMar>
          <w:top w:w="28" w:type="dxa"/>
          <w:left w:w="28" w:type="dxa"/>
          <w:bottom w:w="28" w:type="dxa"/>
          <w:right w:w="28" w:type="dxa"/>
        </w:tblCellMar>
      </w:tblPr>
      <w:tblGrid>
        <w:gridCol w:w="679"/>
        <w:gridCol w:w="268"/>
        <w:gridCol w:w="269"/>
        <w:gridCol w:w="196"/>
        <w:gridCol w:w="646"/>
        <w:gridCol w:w="109"/>
        <w:gridCol w:w="109"/>
        <w:gridCol w:w="109"/>
        <w:gridCol w:w="109"/>
        <w:gridCol w:w="196"/>
        <w:gridCol w:w="661"/>
        <w:gridCol w:w="109"/>
        <w:gridCol w:w="109"/>
        <w:gridCol w:w="109"/>
        <w:gridCol w:w="109"/>
        <w:gridCol w:w="196"/>
        <w:gridCol w:w="661"/>
        <w:gridCol w:w="109"/>
        <w:gridCol w:w="109"/>
        <w:gridCol w:w="109"/>
        <w:gridCol w:w="109"/>
        <w:gridCol w:w="196"/>
        <w:gridCol w:w="736"/>
        <w:gridCol w:w="109"/>
        <w:gridCol w:w="109"/>
        <w:gridCol w:w="109"/>
        <w:gridCol w:w="109"/>
        <w:gridCol w:w="265"/>
        <w:gridCol w:w="773"/>
        <w:gridCol w:w="148"/>
        <w:gridCol w:w="109"/>
        <w:gridCol w:w="109"/>
        <w:gridCol w:w="109"/>
        <w:gridCol w:w="196"/>
        <w:gridCol w:w="751"/>
        <w:gridCol w:w="109"/>
        <w:gridCol w:w="109"/>
        <w:gridCol w:w="109"/>
        <w:gridCol w:w="109"/>
        <w:gridCol w:w="196"/>
        <w:gridCol w:w="73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Port and Terminals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Repauno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Sustainability and Energy Transition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201,135 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earnings (losses) of unconsolidated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and other costs on pension and OPEB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and accretion of redeemable and convertible preferred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(102,316)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benefit from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 non-recurring items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common stockholders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(27,094)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(16,403)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154,957 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(102,104)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24,359 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32740"/>
                <wp:effectExtent l="0" t="0" r="0" b="0"/>
                <wp:wrapNone/>
                <wp:docPr id="41" name="Frame4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V. Balance Sheet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tables set forth the summarized balance sheet. All property, plant and equipment and leasing equipment are located in North America.</w:t>
      </w:r>
    </w:p>
    <w:tbl>
      <w:tblPr>
        <w:tblW w:w="11389" w:type="dxa"/>
        <w:jc w:val="left"/>
        <w:tblInd w:w="0" w:type="dxa"/>
        <w:tblLayout w:type="fixed"/>
        <w:tblCellMar>
          <w:top w:w="28" w:type="dxa"/>
          <w:left w:w="28" w:type="dxa"/>
          <w:bottom w:w="28" w:type="dxa"/>
          <w:right w:w="28" w:type="dxa"/>
        </w:tblCellMar>
      </w:tblPr>
      <w:tblGrid>
        <w:gridCol w:w="761"/>
        <w:gridCol w:w="389"/>
        <w:gridCol w:w="231"/>
        <w:gridCol w:w="196"/>
        <w:gridCol w:w="886"/>
        <w:gridCol w:w="109"/>
        <w:gridCol w:w="109"/>
        <w:gridCol w:w="109"/>
        <w:gridCol w:w="109"/>
        <w:gridCol w:w="196"/>
        <w:gridCol w:w="886"/>
        <w:gridCol w:w="109"/>
        <w:gridCol w:w="109"/>
        <w:gridCol w:w="109"/>
        <w:gridCol w:w="109"/>
        <w:gridCol w:w="196"/>
        <w:gridCol w:w="751"/>
        <w:gridCol w:w="109"/>
        <w:gridCol w:w="109"/>
        <w:gridCol w:w="109"/>
        <w:gridCol w:w="109"/>
        <w:gridCol w:w="196"/>
        <w:gridCol w:w="886"/>
        <w:gridCol w:w="109"/>
        <w:gridCol w:w="109"/>
        <w:gridCol w:w="109"/>
        <w:gridCol w:w="109"/>
        <w:gridCol w:w="240"/>
        <w:gridCol w:w="811"/>
        <w:gridCol w:w="135"/>
        <w:gridCol w:w="109"/>
        <w:gridCol w:w="109"/>
        <w:gridCol w:w="109"/>
        <w:gridCol w:w="225"/>
        <w:gridCol w:w="661"/>
        <w:gridCol w:w="109"/>
        <w:gridCol w:w="109"/>
        <w:gridCol w:w="109"/>
        <w:gridCol w:w="109"/>
        <w:gridCol w:w="196"/>
        <w:gridCol w:w="88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Ports and Terminals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Repauno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Sustainability and Energy Transition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106,650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87,173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94,917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794</w:t>
            </w: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310,834</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2,054,760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1,091,164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538,091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51,196</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42,940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3,778,521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held for sale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1,652,880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1,657,390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2,165,920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1,178,337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633,008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1,653,255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51,990</w:t>
            </w: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64,235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5,746,745</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921,411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396,434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1,398,611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2,763,717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107,673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304,612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55,628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282,029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754,296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539,224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764,666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394,232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1,165,123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2,863,245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1,490,882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1,490,882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646,897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1,069,278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449,860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1,495,216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1,447,152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5,108,423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Redeemable preferred stock</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1,003,747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153,298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1,157,045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Non-controlling interests in equity of consolidated subsidiaries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(199,006)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(188,947)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515,276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109,059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158,039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51,970</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(1,536,215)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(518,723)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redeemable preferred stock and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2,165,920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1,178,337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633,008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1,653,255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51,990</w:t>
            </w:r>
            <w:r>
              <w:rPr>
                <w:color w:val="000000"/>
              </w:rPr>
              <w:t>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64,235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5,746,745</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314" w:type="dxa"/>
        <w:jc w:val="left"/>
        <w:tblInd w:w="0" w:type="dxa"/>
        <w:tblLayout w:type="fixed"/>
        <w:tblCellMar>
          <w:top w:w="28" w:type="dxa"/>
          <w:left w:w="28" w:type="dxa"/>
          <w:bottom w:w="28" w:type="dxa"/>
          <w:right w:w="28" w:type="dxa"/>
        </w:tblCellMar>
      </w:tblPr>
      <w:tblGrid>
        <w:gridCol w:w="761"/>
        <w:gridCol w:w="389"/>
        <w:gridCol w:w="231"/>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244"/>
        <w:gridCol w:w="805"/>
        <w:gridCol w:w="137"/>
        <w:gridCol w:w="109"/>
        <w:gridCol w:w="109"/>
        <w:gridCol w:w="109"/>
        <w:gridCol w:w="240"/>
        <w:gridCol w:w="646"/>
        <w:gridCol w:w="109"/>
        <w:gridCol w:w="109"/>
        <w:gridCol w:w="109"/>
        <w:gridCol w:w="109"/>
        <w:gridCol w:w="196"/>
        <w:gridCol w:w="871"/>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3"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Ports and Terminals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Railroad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Repauno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Power and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Sustainability and Energy Transition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14,716 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484,011 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32,383 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5,264,650 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2,100,531 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1,721,790 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47,099 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5,748,661 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3,774,173 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4,394,681 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1,460,735 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4,804,678 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Redeemable preferred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Non-controlling interests in equity of consolidated subsidiaries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46,189 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(1,372,141)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redeemable preferred stock and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2,100,531 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1,212,915 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616,693 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1,721,790 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47,099 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5,748,661 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32740"/>
                <wp:effectExtent l="0" t="0" r="0" b="0"/>
                <wp:wrapNone/>
                <wp:docPr id="42" name="Frame4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both"/>
        <w:rPr>
          <w:rFonts w:ascii="Arial;sans-serif" w:hAnsi="Arial;sans-serif"/>
          <w:b/>
          <w:color w:val="00497F"/>
          <w:sz w:val="20"/>
        </w:rPr>
      </w:pPr>
      <w:r>
        <w:rPr>
          <w:rFonts w:ascii="Arial;sans-serif" w:hAnsi="Arial;sans-serif"/>
          <w:b/>
          <w:color w:val="00497F"/>
          <w:sz w:val="20"/>
        </w:rPr>
        <w:t>15. REDEEMABLE PREFERRED STOCK</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Series B Preferred Stock - Redeemable Convertible Preferred Stock</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the Company has $23.0 million of cumulative dividends increasing the liquidation preference on the Series B Preferred Stock. Dividends recorded in Dividends and accretion of redeemable preferred stock on the Consolidated Statements of Operations totaled $0.7 million and $0.7 million for the three and six months ended June 30, 2026, respectively.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the Series B Preferred Stock were redeemed due to a change in control as of June 30, 2026, it would be redeemable for $186.6 million.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the Series B Preferred Stock were converted at the option of the holder as of June 30, 2026, it would be converted to 22,369,536 shares of common stock. The Company would have an obligation to pay cash of $0.6 million for shares over the Share Cap on an optional conversion at June 30, 2026.</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Series A Preferred Stock - RailCo - Redeemable Preferred Stock - Non-Controlling Interest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RR Holdings had $92.4 million of PIK dividends increasing its Series A Preferred Units (“Series A Preferred Stock - RailCo”) balance. Dividends recorded in Dividends and accretion of redeemable preferred stock on the Consolidated Statements of Operations totaled $28.0 million and $55.0 million for the three and six months ended June 30, 2026, respectively.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Company has presented the Series A Preferred Stock - RailCo in temporary equity and is accreting the discount and issuance costs using the interest method to the earliest redemption date of August 25, 2032. Such accretion, recorded in Dividends and accretion of redeemable preferred stock on the Consolidated Statements of Operations, totaled $5.2 million and $10.4 million for the three and six months ended June 30, 2026, respectively.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the Series A Preferred Stock - RailCo shares would be redeemable at a redemption price per share of $1,417.48.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16. EARNINGS PER SHARE AND EQUITY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Basic (loss) earnings per share of common stock is calculated by dividing net (loss) income attributable to common stockholders by the weighted average number of shares of common stock outstanding. Diluted (loss) earnings per share is calculated by dividing net (loss) income attributable to common stockholders by the weighted average number of shares of common stock outstanding, plus any potentially dilutive securities, if dilutive. Potentially dilutive securities are calculated using the treasury stock method.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calculation of basic and diluted (loss) earnings per share is presented below:</w:t>
      </w:r>
    </w:p>
    <w:tbl>
      <w:tblPr>
        <w:tblW w:w="10205" w:type="dxa"/>
        <w:jc w:val="left"/>
        <w:tblInd w:w="0" w:type="dxa"/>
        <w:tblLayout w:type="fixed"/>
        <w:tblCellMar>
          <w:top w:w="28" w:type="dxa"/>
          <w:left w:w="28" w:type="dxa"/>
          <w:bottom w:w="28" w:type="dxa"/>
          <w:right w:w="28" w:type="dxa"/>
        </w:tblCellMar>
      </w:tblPr>
      <w:tblGrid>
        <w:gridCol w:w="1682"/>
        <w:gridCol w:w="1408"/>
        <w:gridCol w:w="1417"/>
        <w:gridCol w:w="220"/>
        <w:gridCol w:w="846"/>
        <w:gridCol w:w="109"/>
        <w:gridCol w:w="109"/>
        <w:gridCol w:w="109"/>
        <w:gridCol w:w="109"/>
        <w:gridCol w:w="240"/>
        <w:gridCol w:w="811"/>
        <w:gridCol w:w="109"/>
        <w:gridCol w:w="109"/>
        <w:gridCol w:w="109"/>
        <w:gridCol w:w="109"/>
        <w:gridCol w:w="220"/>
        <w:gridCol w:w="846"/>
        <w:gridCol w:w="109"/>
        <w:gridCol w:w="109"/>
        <w:gridCol w:w="109"/>
        <w:gridCol w:w="109"/>
        <w:gridCol w:w="244"/>
        <w:gridCol w:w="807"/>
        <w:gridCol w:w="156"/>
      </w:tblGrid>
      <w:tr>
        <w:trPr/>
        <w:tc>
          <w:tcPr>
            <w:tcW w:w="168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 share data)</w:t>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income</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(139,443)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(266,654)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50,205 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 in consolidated subsidiaries</w:t>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(11,377)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(25,637)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(22,501)</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Preferred dividends and accretion on redeemable non-controlling interests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70,451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and accretion of redeemable preferred stock</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Convertible preferred stock dividend</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attributable to common stockholders - Basic</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(166,464)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(320,989)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24,359 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Adjustments attributable to dilutive securities</w:t>
            </w:r>
          </w:p>
        </w:tc>
        <w:tc>
          <w:tcPr>
            <w:tcW w:w="106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attributable to common stockholders - Diluted</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(166,464)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(320,989)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24,359 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Weighted Average Common Stock Outstanding - Basic</w:t>
            </w:r>
          </w:p>
        </w:tc>
        <w:tc>
          <w:tcPr>
            <w:tcW w:w="106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118,163,955</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114,880,817 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117,430,787</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114,491,338 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Weighted Average Common Stock Outstanding - Diluted</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118,163,955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114,880,817 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117,430,787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115,260,452 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earnings per share:</w:t>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Diluted </w:t>
            </w:r>
            <w:r>
              <w:rPr>
                <w:rFonts w:ascii="Arial;sans-serif" w:hAnsi="Arial;sans-serif"/>
                <w:b w:val="false"/>
                <w:color w:val="000000"/>
                <w:sz w:val="10"/>
              </w:rPr>
              <w:t>(1)</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Diluted (loss) earnings per share for the three and six months ended June 30, 2026 and 2025 includes the dilutive effect of subsidiary earnings per share and convertible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32740"/>
                <wp:effectExtent l="0" t="0" r="0" b="0"/>
                <wp:wrapNone/>
                <wp:docPr id="43" name="Frame4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INFRASTRUCTURE INC.</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val="false"/>
          <w:color w:val="000000"/>
          <w:sz w:val="18"/>
        </w:rPr>
        <w:t>For the three months ended June 30, 2026 and 2025, 24,240,147 and 20,443,245</w:t>
      </w:r>
      <w:r>
        <w:rPr>
          <w:color w:val="000000"/>
        </w:rPr>
        <w:t xml:space="preserve"> </w:t>
      </w:r>
      <w:r>
        <w:rPr>
          <w:rFonts w:ascii="Arial;sans-serif" w:hAnsi="Arial;sans-serif"/>
          <w:b w:val="false"/>
          <w:color w:val="000000"/>
          <w:sz w:val="18"/>
        </w:rPr>
        <w:t>shares of common stock, respectively, have been excluded from the calculation of Diluted loss per share because the impact would be anti-dilutive. For the six months ended June 30, 2026 and 2025, 24,011,773 and 13,590,885 shares of common stock, respectively, have been excluded from the calculation of Diluted (loss) earnings per share because the impact would be anti-dilutive.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For the three months ended June 30, 2026 and 2025, 3,892,566 and 3,892,566 of warrants, respectively, have been excluded from the calculation of Diluted (loss) earnings per share because the impact would be anti-dilutive. For the six months ended June 30, 2026 and 2025, 3,892,566 and 3,721,455 of warrants, respectively, have been excluded from the calculation of Diluted (loss) earnings per share because the impact would be anti-dilutive.</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Common Stock Warrants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there were no changes to the number of the Company’s outstanding equity classified stock warrants. The weighted average exercise price was $9.64 and $9.76 as of June 30, 2026 and December 31, 2025, respectively. The weighted average exercise price as of June 30, 2026 includes adjustments for quarterly dividend payments.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weighted average remaining contractual term of the outstanding warrants as of June 30, 2026 is 4.1 years. The aggregate intrinsic value of the warrants as of June 30, 2026 is $—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17. COMMITMENTS AND CONTINGENCIES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the normal course of business we, and our subsidiaries, may be involved in various claims, legal proceedings, or may enter into contracts that contain a variety of representations and warranties and which provide general indemnifications.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left"/>
        <w:rPr>
          <w:rFonts w:ascii="Arial;sans-serif" w:hAnsi="Arial;sans-serif"/>
          <w:b/>
          <w:color w:val="00497F"/>
          <w:sz w:val="20"/>
        </w:rPr>
      </w:pPr>
      <w:r>
        <w:rPr>
          <w:rFonts w:ascii="Arial;sans-serif" w:hAnsi="Arial;sans-serif"/>
          <w:b/>
          <w:color w:val="00497F"/>
          <w:sz w:val="20"/>
        </w:rPr>
        <w:t>18. SUBSEQUENT EVENTS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Jefferson Bridge Loan Credit Agreement and July 2026 Jefferson Credit Agreement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July 1, 2026, our Jefferson Terminal segment entered into a bridge loan credit agreement (the “Jefferson Bridge Loan Credit Agreement”), providing for a $230.0 million secured bridge loan facility that matures on June 30, 2027 and bears interest at the sum of 5.50% plus the SOFR as administered by the Federal Reserve Bank of New York, with 0.50% step-ups every 90 days for the duration of the agreement.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July 1, 2026, our Jefferson Terminal segment also entered into a credit agreement (the “July 2026 Jefferson Credit Agreement”), providing for a $30.0 million secured bridge loan facility, which matures on December 15, 2026 with the option to extend the maturity date to August 31, 2027 pursuant to the terms of the July 2026 Jefferson Credit Agreement, and bears interest at the sum of 4.00% plus the SOFR as administered by the Federal Reserve Bank of New York.</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Proceeds from the Jefferson Bridge Loan Credit Agreement and the July 2026 Jefferson Credit Agreement were used to (i) repay at maturity all amounts outstanding under the Jefferson Taxable Series 2024B Bonds, (ii) fund a portion of the debt service reserve account required under the Jefferson Bridge Loan Credit Agreement and (iii) pay certain fees, costs and expenses incurred in connection with the transactions noted above.</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Dividends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August 5, 2026, our board of directors declared a cash dividend on our common stock of $0.03 per share for the quarter ended June 30, 2026, payable on September 8, 2026 to the holders of record on August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32740"/>
                <wp:effectExtent l="0" t="0" r="0" b="0"/>
                <wp:wrapNone/>
                <wp:docPr id="44" name="Frame4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2. Management’s Discussion and Analysis of Financial Condition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Management’s Discussion and Analysis of Financial Condition and Results of Operations (“MD&amp;A”) is intended to help you understand FTAI Infrastructure Inc. (“we”, “us”, “our”, or the “Company”). Our MD&amp;A should be read in conjunction with our unaudited consolidated financial statements and the accompanying notes, and with Part II, Item 1A, “Risk Factors” and “Forward-Looking Statements” included elsewhere in this Quarterly Report on Form 10-Q.</w:t>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Overview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in the business of acquiring, developing and operating assets and businesses that represent critical infrastructure for customers in the transportation, energy and industrial products industries. We were formed on December 13, 2021 as FTAI Infrastructure LLC, a Delaware limited liability company and subsidiary of FTAI Aviation Ltd. (previously Fortress Transportation and Infrastructure Investors LLC; “FTAI” or “Former Parent”). We are a publicly-traded company trading on The Nasdaq Global Select Market under the symbol “FIP.”</w:t>
      </w:r>
    </w:p>
    <w:p>
      <w:pPr>
        <w:pStyle w:val="TextBody"/>
        <w:bidi w:val="0"/>
        <w:spacing w:lineRule="auto" w:line="288" w:before="120" w:after="283"/>
        <w:jc w:val="both"/>
        <w:rPr/>
      </w:pPr>
      <w:r>
        <w:rPr>
          <w:rFonts w:ascii="Arial;sans-serif" w:hAnsi="Arial;sans-serif"/>
          <w:b w:val="false"/>
          <w:color w:val="000000"/>
          <w:sz w:val="18"/>
        </w:rPr>
        <w:t>Our operations consist of four primary business lines: (i) Railroad, (ii) Ports and Terminals, (iii) Power and Gas and (iv) Sustainability and Energy Transition. Our Railroad business primarily invests in and operates short line and regional railroads in North America. Our Ports and Terminals business, consisting of our Jefferson Terminal and Repauno segments, develops or acquires industrial properties in strategic locations that store and handle for third parties a variety of energy products, including crude oil, refined products and clean fuels. Our Power and Gas business develops and operates facilities, such as a 485 megawatt power plant at the Long Ridge terminal in Ohio, that leverage the property’s location and key attributes to generate incremental value. Our Sustainability and Energy Transition business focuses on investments in companies and assets that utilize green technology, produce sustainable fuels and products or enable customers to reduce their carbon footprint.</w:t>
      </w:r>
      <w:r>
        <w:rPr>
          <w:color w:val="000000"/>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expect to continue to invest in such market sectors, and pursue additional investment opportunities in other infrastructure businesses and assets we believe to be attractive and meet our investment objectives. Our team focuses on acquiring a diverse group of long-lived assets or operating businesses that provide mission-critical services or functions to infrastructure networks and typically have high barriers to entry, strong margins, stable cash flows and upside from earnings growth and asset appreciation driven by increased use and inflation. We believe that there are a large number of acquisition opportunities in our markets and that our Manager’s expertise and business and financing relationships, together with our access to capital and generally available capital for infrastructure projects in today’s marketplace, will allow us to take advantage of these opportunities. As of June 30, 2026, we had total consolidated assets of $5.7 billion and redeemable preferred stock and equity of $638.3 million.</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Operating Segments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reportable segments represent strategic business units comprised of investments in different types of infrastructure assets. We have five reportable segments which operate in infrastructure businesses across several market sectors, all in North America. Our reportable segments are (i) Railroad, (ii) Jefferson Terminal, (iii) Repauno, (iv) Power and Gas and (v) Sustainability and Energy Transition.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April 29, 2026, we entered into an agreement (the “Agreement”) to sell Long Ridge Energy &amp; Power LLC (see Note 2 for additional details), subject to the receipt of certain regulatory approvals expected to be received within 12 months of the signing of such agreement. As such, we have recorded Long Ridge Energy &amp; Power LLC, included in our Power and Gas segment, as held-for-sale as of the date of the Agreement through regulatory approval and closing of the sale. On June 29, 2026 (the “acquisition date”), we acquired Tidewater, a barge and rail transloading company with operations in Ohio, West Virginia and Texas (see Note 2 for additional details), which will be included in our Railroad segment as of the acquisition date. Additionally, on June 30, 2026, we sold our KRS business (see Note 2 for additional details), which was included within the Corporate and Other segment.</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Our Manager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May 14, 2024, certain members of Fortress management and affiliates of Mubadala Investment Company, through its wholly owned asset management subsidiary, Mubadala Capital (“Mubadala”), completed their acquisition of 100% of the equity of Fortress. Fortress continues to operate as an independent investment manager under the Fortress brand, with autonomy over investment processes and decision making, personnel and operations.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Results of Operations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CODM utilizes Adjusted EBITDA as the key performance measure. Adjusted EBITDA is not a financial measure in accordance with U.S. generally accepted accounting principles (“U.S. GAAP”). This performance measure provides the CODM with the information necessary to assess operational performance, as well as make resource and allocation decisions. We believe Adjusted EBITDA is a useful metric for investors and analysts for similar purposes of assessing our operational performance.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Adjusted EBITDA is defined as net income (loss) attributable to common stockholders, adjusted (a) to exclude the impact of provision for (benefit from) income taxes, equity-based compensation expense, acquisition and transaction expenses, gains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32740"/>
                <wp:effectExtent l="0" t="0" r="0" b="0"/>
                <wp:wrapNone/>
                <wp:docPr id="45" name="Frame4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val="false"/>
          <w:color w:val="000000"/>
          <w:sz w:val="18"/>
        </w:rPr>
        <w:t>(losses) on the modification or extinguishment of debt and capital lease obligations, changes in fair value of non-hedge derivative instruments, asset impairment charges, incentive allocations, depreciation and amortization expense, interest expense, interest and other costs on pension and OPEB liabilities, dividends and accretion of redeemable and convertible preferred stock, and other non-recurring items, (b) to include the impact of our pro-rata share of Adjusted EBITDA from unconsolidated entities, and (c) to exclude the impact of equity in earnings (losses) of unconsolidated entities and the non-controlling share of Adjusted EBITDA</w:t>
      </w:r>
      <w:r>
        <w:rPr>
          <w:rFonts w:ascii="Times New Roman;serif" w:hAnsi="Times New Roman;serif"/>
          <w:b w:val="false"/>
          <w:color w:val="000000"/>
          <w:sz w:val="18"/>
        </w:rPr>
        <w: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believe that net income (loss) attributable to common stockholders, as defined by U.S. GAAP, is the most appropriate earnings measure with which to reconcile Adjusted EBITDA. Adjusted EBITDA should not be considered as an alternative to net income (loss) attributable to common stockholders as determined in accordance with U.S. GAAP. Segment information for prior periods has been recast to conform to the current period presentation of net income (loss) attributable to common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32740"/>
                <wp:effectExtent l="0" t="0" r="0" b="0"/>
                <wp:wrapNone/>
                <wp:docPr id="46" name="Frame4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Comparison of the three and six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consolidated results of operations:</w:t>
      </w:r>
    </w:p>
    <w:tbl>
      <w:tblPr>
        <w:tblW w:w="10205" w:type="dxa"/>
        <w:jc w:val="left"/>
        <w:tblInd w:w="0" w:type="dxa"/>
        <w:tblLayout w:type="fixed"/>
        <w:tblCellMar>
          <w:top w:w="28" w:type="dxa"/>
          <w:left w:w="28" w:type="dxa"/>
          <w:bottom w:w="28" w:type="dxa"/>
          <w:right w:w="28" w:type="dxa"/>
        </w:tblCellMar>
      </w:tblPr>
      <w:tblGrid>
        <w:gridCol w:w="1294"/>
        <w:gridCol w:w="932"/>
        <w:gridCol w:w="936"/>
        <w:gridCol w:w="207"/>
        <w:gridCol w:w="603"/>
        <w:gridCol w:w="115"/>
        <w:gridCol w:w="115"/>
        <w:gridCol w:w="115"/>
        <w:gridCol w:w="115"/>
        <w:gridCol w:w="207"/>
        <w:gridCol w:w="587"/>
        <w:gridCol w:w="115"/>
        <w:gridCol w:w="109"/>
        <w:gridCol w:w="109"/>
        <w:gridCol w:w="109"/>
        <w:gridCol w:w="196"/>
        <w:gridCol w:w="556"/>
        <w:gridCol w:w="109"/>
        <w:gridCol w:w="109"/>
        <w:gridCol w:w="109"/>
        <w:gridCol w:w="109"/>
        <w:gridCol w:w="199"/>
        <w:gridCol w:w="580"/>
        <w:gridCol w:w="109"/>
        <w:gridCol w:w="109"/>
        <w:gridCol w:w="109"/>
        <w:gridCol w:w="109"/>
        <w:gridCol w:w="200"/>
        <w:gridCol w:w="568"/>
        <w:gridCol w:w="109"/>
        <w:gridCol w:w="109"/>
        <w:gridCol w:w="109"/>
        <w:gridCol w:w="109"/>
        <w:gridCol w:w="200"/>
        <w:gridCol w:w="568"/>
        <w:gridCol w:w="162"/>
      </w:tblGrid>
      <w:tr>
        <w:trPr/>
        <w:tc>
          <w:tcPr>
            <w:tcW w:w="129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Rail revenues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88,804</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171,097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Terminal services revenues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29,780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Roadside services revenues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15,497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Power revenues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42,568</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88,196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revenues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5,857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186,768</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122,286 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375,132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218,447 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156,685 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117,333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237,727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3,674</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6,021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39,511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63,188</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8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233,404</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129,080 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418,955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232,307 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186,648 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earnings of unconsolidated entities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gain on sale of assets, net</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modification or extinguishment of debt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(43,443)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(105,492)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(187,979)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(85,663)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3,287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(expense) income</w:t>
            </w:r>
          </w:p>
        </w:tc>
        <w:tc>
          <w:tcPr>
            <w:tcW w:w="8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(104,383)</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(62,213)</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(230,884)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(254,387)</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income from before income taxes</w:t>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(151,019)</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(69,007)</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(274,707)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(284,350)</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from) provision for income taxes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(11,576)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w:t>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(139,443)</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(69,959)</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(266,654)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(316,859)</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 - common stockholders</w:t>
            </w:r>
          </w:p>
        </w:tc>
        <w:tc>
          <w:tcPr>
            <w:tcW w:w="8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(11,377)</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(11,100)</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(25,637)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(3,136)</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Preferred dividends and accretion on redeemable non-controlling interests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33,230</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70,451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and accretion of redeemable preferred stock</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(42,141)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Convertible preferred stock dividend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4,511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 attributable to common stockholders</w:t>
            </w:r>
          </w:p>
        </w:tc>
        <w:tc>
          <w:tcPr>
            <w:tcW w:w="81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(166,464)</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(83,898)</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(82,566)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(320,989)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(345,348)</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32740"/>
                <wp:effectExtent l="0" t="0" r="0" b="0"/>
                <wp:wrapNone/>
                <wp:docPr id="47" name="Frame4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(loss) income attributable to common stockholders to Adjusted EBITDA:</w:t>
      </w:r>
    </w:p>
    <w:tbl>
      <w:tblPr>
        <w:tblW w:w="10205" w:type="dxa"/>
        <w:jc w:val="left"/>
        <w:tblInd w:w="0" w:type="dxa"/>
        <w:tblLayout w:type="fixed"/>
        <w:tblCellMar>
          <w:top w:w="28" w:type="dxa"/>
          <w:left w:w="28" w:type="dxa"/>
          <w:bottom w:w="28" w:type="dxa"/>
          <w:right w:w="28" w:type="dxa"/>
        </w:tblCellMar>
      </w:tblPr>
      <w:tblGrid>
        <w:gridCol w:w="874"/>
        <w:gridCol w:w="725"/>
        <w:gridCol w:w="719"/>
        <w:gridCol w:w="196"/>
        <w:gridCol w:w="763"/>
        <w:gridCol w:w="109"/>
        <w:gridCol w:w="109"/>
        <w:gridCol w:w="109"/>
        <w:gridCol w:w="109"/>
        <w:gridCol w:w="196"/>
        <w:gridCol w:w="673"/>
        <w:gridCol w:w="109"/>
        <w:gridCol w:w="109"/>
        <w:gridCol w:w="109"/>
        <w:gridCol w:w="109"/>
        <w:gridCol w:w="196"/>
        <w:gridCol w:w="673"/>
        <w:gridCol w:w="109"/>
        <w:gridCol w:w="109"/>
        <w:gridCol w:w="109"/>
        <w:gridCol w:w="109"/>
        <w:gridCol w:w="196"/>
        <w:gridCol w:w="763"/>
        <w:gridCol w:w="109"/>
        <w:gridCol w:w="109"/>
        <w:gridCol w:w="109"/>
        <w:gridCol w:w="109"/>
        <w:gridCol w:w="196"/>
        <w:gridCol w:w="736"/>
        <w:gridCol w:w="109"/>
        <w:gridCol w:w="109"/>
        <w:gridCol w:w="109"/>
        <w:gridCol w:w="109"/>
        <w:gridCol w:w="196"/>
        <w:gridCol w:w="763"/>
        <w:gridCol w:w="160"/>
      </w:tblGrid>
      <w:tr>
        <w:trPr/>
        <w:tc>
          <w:tcPr>
            <w:tcW w:w="87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 attributable to common stockholders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(166,464)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(320,989)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(345,348)</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(Benefit from) provision for income taxes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47,516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Depreciation and amortization expense </w:t>
            </w:r>
            <w:r>
              <w:rPr>
                <w:rFonts w:ascii="Arial;sans-serif" w:hAnsi="Arial;sans-serif"/>
                <w:b w:val="false"/>
                <w:color w:val="000000"/>
                <w:sz w:val="10"/>
              </w:rPr>
              <w:t>(1)</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82,144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105,492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187,979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(2)</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Dividends and accretion of redeemable and convertible preferred stock </w:t>
            </w:r>
            <w:r>
              <w:rPr>
                <w:rFonts w:ascii="Arial;sans-serif" w:hAnsi="Arial;sans-serif"/>
                <w:b w:val="false"/>
                <w:color w:val="000000"/>
                <w:sz w:val="10"/>
              </w:rPr>
              <w:t>(3)</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38,398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79,972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and other costs on pension and OPEB liabilities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Other non-recurring items </w:t>
            </w:r>
            <w:r>
              <w:rPr>
                <w:rFonts w:ascii="Arial;sans-serif" w:hAnsi="Arial;sans-serif"/>
                <w:b w:val="false"/>
                <w:color w:val="000000"/>
                <w:sz w:val="10"/>
              </w:rPr>
              <w:t>(4)</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losses (earnings) of unconsolidated entities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Less: Non-controlling share of Adjusted EBITDA </w:t>
            </w:r>
            <w:r>
              <w:rPr>
                <w:rFonts w:ascii="Arial;sans-serif" w:hAnsi="Arial;sans-serif"/>
                <w:b w:val="false"/>
                <w:color w:val="000000"/>
                <w:sz w:val="10"/>
              </w:rPr>
              <w:t>(5)</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76,113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146,705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201,135 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(54,430)</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Includes the following items for the three months ended June 30, 2026 and 2025: (i) depreciation and amortization expense of $39,511 and $33,998, (ii) capitalized contract costs amortization of $1,232 and $1,232 and (iii) amortization of other comprehensive income of $(287) and $(3,144), respectively. Includes the following items for the six months ended June 30, 2026 and 2025: (i) depreciation and amortization expense of $90,202 and $59,010, (ii) capitalized contract costs amortization of $2,465 and $2,465 and (iii) amortization of other comprehensive income of $(10,523) and $(4,732), respectively.</w:t>
      </w:r>
    </w:p>
    <w:p>
      <w:pPr>
        <w:pStyle w:val="TextBody"/>
        <w:bidi w:val="0"/>
        <w:spacing w:lineRule="auto" w:line="288" w:before="120" w:after="283"/>
        <w:ind w:left="0" w:right="0" w:hanging="180"/>
        <w:jc w:val="both"/>
        <w:rPr/>
      </w:pPr>
      <w:r>
        <w:rPr>
          <w:rFonts w:ascii="Arial;sans-serif" w:hAnsi="Arial;sans-serif"/>
          <w:b w:val="false"/>
          <w:color w:val="000000"/>
          <w:sz w:val="10"/>
        </w:rPr>
        <w:t xml:space="preserve">(2) </w:t>
      </w:r>
      <w:r>
        <w:rPr>
          <w:rFonts w:ascii="Arial;sans-serif" w:hAnsi="Arial;sans-serif"/>
          <w:b w:val="false"/>
          <w:color w:val="000000"/>
          <w:sz w:val="16"/>
        </w:rPr>
        <w:t xml:space="preserve">Includes the following items for the three months ended June 30, 2026 and 2025: net loss of $(560) and $(100), respectively. Includes the following items for the six months ended June 30, 2026 and 2025: (i) net (loss) income of $(1,078) and $6,478, (ii) interest expense of $— and $7,648, (iii) depreciation and amortization expense of $— and $2,884, (iv) acquisition and transaction expenses of $— and $201, (v) changes in fair value of non-hedge derivative instruments of $— and $(12,822), (vi) equity method basis adjustments of $— and $10 and (vii) other non-recurring items of $— and $1, respectively. </w:t>
      </w:r>
    </w:p>
    <w:p>
      <w:pPr>
        <w:pStyle w:val="TextBody"/>
        <w:bidi w:val="0"/>
        <w:spacing w:lineRule="auto" w:line="288" w:before="120" w:after="283"/>
        <w:ind w:left="0" w:right="0" w:hanging="180"/>
        <w:jc w:val="both"/>
        <w:rPr/>
      </w:pPr>
      <w:r>
        <w:rPr>
          <w:rFonts w:ascii="Arial;sans-serif" w:hAnsi="Arial;sans-serif"/>
          <w:b w:val="false"/>
          <w:color w:val="000000"/>
          <w:sz w:val="10"/>
        </w:rPr>
        <w:t xml:space="preserve">(3) </w:t>
      </w:r>
      <w:r>
        <w:rPr>
          <w:rFonts w:ascii="Arial;sans-serif" w:hAnsi="Arial;sans-serif"/>
          <w:b w:val="false"/>
          <w:color w:val="000000"/>
          <w:sz w:val="16"/>
        </w:rPr>
        <w:t>Includes the following items for the three months ended June 30, 2026 and 2025: (i) dividends and accretion of redeemable preferred stock of $33,887 and $20,957 and (ii) dividends of convertible preferred stock of $4,511 and $4,082, respectively. Includes the following items for the six months ended June 30, 2026 and 2025: (i) dividends and accretion of redeemable preferred stock of $71,108 and $42,798 and (ii) dividends of convertible preferred stock of $8,864 and $5,549, respectively.</w:t>
      </w:r>
    </w:p>
    <w:p>
      <w:pPr>
        <w:pStyle w:val="TextBody"/>
        <w:bidi w:val="0"/>
        <w:spacing w:lineRule="auto" w:line="288" w:before="120" w:after="283"/>
        <w:ind w:left="0" w:right="0" w:hanging="180"/>
        <w:jc w:val="both"/>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Includes the following items for the three months ended June 30, 2026: Railroad severance and integration expenses of $857. Includes the following item for the three months ended June 30, 2025: Railroad severance expense of $298. Includes the following items for the six months ended June 30, 2026: (i) Railroad severance and integration expenses of $2,328 and (ii) unrealized loss on investment of $1,190. Includes the following items for the six months ended June 30, 2025: (i) incidental utility rebillings of $650, (ii) loss on inventory heel of $385 and (iii) Railroad severance expense of $298.</w:t>
      </w:r>
    </w:p>
    <w:p>
      <w:pPr>
        <w:pStyle w:val="TextBody"/>
        <w:bidi w:val="0"/>
        <w:spacing w:lineRule="auto" w:line="288" w:before="120" w:after="283"/>
        <w:ind w:left="0" w:right="0" w:hanging="180"/>
        <w:jc w:val="both"/>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Includes the following items for the three months ended June 30, 2026 and 2025: (i) equity-based compensation expense of $295 and $86, (ii) provision for income taxes of $52 and $84, (iii) interest expense of $3,445 and $3,706, (iv) depreciation and amortization expense of $3,362 and $3,071, (v) changes in fair value of non-hedge derivative instruments of $4 and $—, (vi) acquisition and transaction expenses of $29 and $165, (vii) interest and other costs on pension and OPEB liabilities of $(2) and $(1), (viii) asset impairment charges of $— and $8, (ix) losses on the modification or extinguishment of debt of $5 and $356, (x) dividends and accretion of redeemable preferred stock of $216 and $— and (xi) other non-recurring items of $7 and $2, respectively. Includes the following items for the six months ended June 30, 2026 and 2025: (i) equity-based compensation expense of $2,067 and $224, (ii) provision for income taxes of $118 and $188, (iii) interest expense of $7,497 and $7,646, (iv) depreciation and amortization expense of $6,693 and $6,140, (v) changes in fair value of non-hedge derivative instruments of $4 and $—, (vi) acquisition and transaction expenses of $44 and $166, (vii) interest and other costs on pension and OPEB liabilities of $(2) and $(3), (viii) asset impairment charges of $— and $27, (ix) losses on the modification or extinguishment of debt of $1,494 and $358, (x) dividends and accretion of redeemable preferred stock of $391 and $— and (xi) other non-recurring items of $13 and $63,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32740"/>
                <wp:effectExtent l="0" t="0" r="0" b="0"/>
                <wp:wrapNone/>
                <wp:docPr id="48" name="Frame4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80"/>
        <w:jc w:val="both"/>
        <w:rPr>
          <w:rFonts w:ascii="Arial;sans-serif" w:hAnsi="Arial;sans-serif"/>
          <w:b/>
          <w:i/>
          <w:color w:val="00497F"/>
          <w:sz w:val="18"/>
        </w:rPr>
      </w:pPr>
      <w:r>
        <w:rPr>
          <w:rFonts w:ascii="Arial;sans-serif" w:hAnsi="Arial;sans-serif"/>
          <w:b/>
          <w:i/>
          <w:color w:val="00497F"/>
          <w:sz w:val="18"/>
        </w:rPr>
        <w:t>Revenue</w:t>
      </w:r>
    </w:p>
    <w:p>
      <w:pPr>
        <w:pStyle w:val="TextBody"/>
        <w:bidi w:val="0"/>
        <w:spacing w:lineRule="auto" w:line="288" w:before="120" w:after="283"/>
        <w:ind w:left="0" w:right="0" w:hanging="180"/>
        <w:jc w:val="left"/>
        <w:rPr>
          <w:rFonts w:ascii="Arial;sans-serif" w:hAnsi="Arial;sans-serif"/>
          <w:b/>
          <w:color w:val="00497F"/>
          <w:sz w:val="18"/>
        </w:rPr>
      </w:pPr>
      <w:r>
        <w:rPr>
          <w:rFonts w:ascii="Arial;sans-serif" w:hAnsi="Arial;sans-serif"/>
          <w:b/>
          <w:color w:val="00497F"/>
          <w:sz w:val="18"/>
        </w:rPr>
        <w:t>Comparison of the three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revenues increased $64.5 million due to higher revenues of $7.0 million in the Power and Gas segment, $50.0 million in the Railroad segment, $2.7 million in the Jefferson Terminal segment, $2.5 million in the Repauno segment and $2.2 million in the Corporate and Other segment.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Rail revenues increased $46.5 million primarily due to the completed acquisition and consolidation of Wheeling in December 2025 and increased carloads and fuel surcharges in the Railroad segment.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Terminal services revenues increased $5.5 million primarily due to an increase in average refined and ammonia product throughput volumes in the Jefferson Terminal segment, as well as higher volumes stemming from the terminal’s current butane contract compared to when the contract initially commenced in April 2025 in the Repauno segment.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Power revenues increased $4.6 million due to increased power prices at Long Ridge Energy &amp; Power LLC in February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Gas revenues increased $2.9 million due to increased drilling at Gasco and Long Ridge West Virginia.</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Roadside services revenues increased $2.3 million due to an increase in roadside services at FYX.</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six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revenues increased $156.7 million primarily due to higher revenues of $92.4 million in the Railroad segment, $10.6 million in the Jefferson Terminal segment, $51.8 million in the Power and Gas segment and $2.0 million in the Corporate and Other segment.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Rail revenues increased $86.6 million primarily due to the completed acquisition and consolidation of Wheeling in December 2025 and increased carloads in the Railroad segment.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Terminal services revenues increased $11.1 million primarily due to an increase in average refined and ammonia product throughput volumes in the Jefferson Terminal segment.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Power revenues increased $34.4 million primarily due to the acquisition of Long Ridge Energy &amp; Power LLC in February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Gas revenues increased $17.7 million primarily due to the acquisition of Long Ridge Energy &amp; Power LLC in February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Roadside services revenues increased $1.9 million due to an increase in roadside services at FYX.</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ind w:left="0" w:right="0" w:hanging="180"/>
        <w:jc w:val="left"/>
        <w:rPr>
          <w:rFonts w:ascii="Arial;sans-serif" w:hAnsi="Arial;sans-serif"/>
          <w:b/>
          <w:color w:val="00497F"/>
          <w:sz w:val="18"/>
        </w:rPr>
      </w:pPr>
      <w:r>
        <w:rPr>
          <w:rFonts w:ascii="Arial;sans-serif" w:hAnsi="Arial;sans-serif"/>
          <w:b/>
          <w:color w:val="00497F"/>
          <w:sz w:val="18"/>
        </w:rPr>
        <w:t>Comparison of the three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$104.3 million primarily due to increases in (i) operating expenses, (ii) depreciation and amortization and (iii) asset impairment.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Operating expenses increased $42.9 million which primarily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of $8.9 million primarily related to increased Ohio GasCo LLC and Long Ridge West Virginia LLC well operations in the Power and Gas segment;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of $1.7 million primarily due to costs associated with increased terminal throughput activity at Jefferson Terminal;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of $29.2 million in the Railroad segment mainly due to the full inclusion of operating expenses of Wheeling after the acquisition in December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Depreciation and amortization increased $5.5 million primarily due to additional assets at the Railroad segment after the acquisition of Wheeling in December 2025; partially offset by assets held for sale in the Power and Gas segment.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Asset impairment increased $58.8 million primarily due to (i) an impairment of assets at KRS which was classified as held for sale during the current quarter prior to being sold on June 30, 2026 in the Corporate and Other segment and (ii) a valuation allowance on assets held for sale in the current quarter for Long Ridge Energy &amp; Power LLC in the Power and Gas segment, offset by a railcar adjustment that was recorded in the prior year in the Railroad segment.</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six months ended June 30, 2026 and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$186.6 million, primarily due to increases in (i) operating expenses, (ii) depreciation and amortization, (iii) acquisition and transaction expenses and (iv) asset impairment.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Operating expenses increased $96.2 million which primarily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of $30.4 million primarily related to increased Ohio GasCo LLC and Long Ridge West Virginia LLC well operations and full inclusion of operating expenses after the acquisition of 100% of Long Ridge in February 2025 in the Power and Gas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32740"/>
                <wp:effectExtent l="0" t="0" r="0" b="0"/>
                <wp:wrapNone/>
                <wp:docPr id="49" name="Frame4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of $9.4 million primarily due to costs associated with stock-based compensation and costs associated with increased terminal throughput activity at Jefferson Terminal;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of $53.0 million in the Railroad segment mainly due to the full inclusion of operating expenses of Wheeling after the acquisition in December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Depreciation and amortization increased $31.2 million primarily due to additional assets at the Railroad segment after the acquisition of Wheeling in December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Acquisition and transaction expenses increased $0.6 million primarily due to (i) an increase in legal and consulting fees in the Railroad segment related to the acquisition of Wheeling in December 2025 and Tidewater in June 2026 and (ii) costs incurred with debt refinancing activities and professional fees related to the Wheeling acquisition in the Corporate and Other segment.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Asset impairment increased $58.8 million primarily due to (i) an impairment of assets at KRS which was classified as held for sale during the current quarter prior to being sold on June 30, 2026 in the Corporate and Other segment and (ii) a valuation allowance on assets held for sale in the current quarter for Long Ridge Energy &amp; Power LLC in the Power and Gas segment, offset by a railcar adjustment that was recorded in the prior year in the Railroad segment.</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(expense) income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expense increased $42.2 million during the three months ended June 30, 2026 primarily due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interest expense of $46.3 million primarily due to an increase in the average outstanding debt of approximately $886.5 million which primarily consists of (i) $768.0 million for the Bridge Loan Credit Agreement and (ii) $118.6 million for the Series 2025 Bonds; partially offset by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decrease in loss on modification or extinguishment of debt of $2.5 million due to loss on extinguishment from the prior year payoff of the DRP Revolver and March 2025 Credit Agreement;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decrease of $1.4 million in equity in losses of unconsolidated entities primarily due a decrease in equity in losses of unconsolidated entities in the Sustainability and Energy Transition segment due to lower operating losses at GM-FTAI Holdco LLC.</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expense increased $254.4 million during the six months ended June 30, 2026 which primarily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loss on modification or extinguishment of debt of $43.4 million due to loss on extinguishment of the Bridge Loan Credit Agreement and loss on modification related to legal fees incurred in connection with the upsize of the Term Loan in the Corporate and Other segment, as well as loss on extinguishment from the June 2025 Jefferson Credit Agreement in the Jefferson Terminal segment;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interest expense of $85.7 million primarily due to an increase in the average outstanding debt of approximately $1.2 billion which primarily consists of (i) $732.9 million for the Bridge Loan Credit Agreement, (ii) $234.5 million for the Series 2025 Bonds, (iii) $196.2 million for Long Ridge Energy &amp; Power LLC debt and (iv) $50.0 million for the RailCo Revolver;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decrease in gain on sale of assets of $120.4 million primarily due to a prior year gain from the acquisition of 100% of Long Ridge in February 2025;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of $4.4 million in equity in losses of unconsolidated entities primarily due to the equity pickup of Long Ridge Energy &amp; Power LLC net earnings in the prior year that were not recognized in the current quarter since 100% of Long Ridge Energy &amp; Power LLC was acquired in February 2025, and therefore no equity pickup was recorded after the acquisition, offset by a decrease in equity in losses of unconsolidated entities in the Sustainability and Energy Transition segment due to lower operating losses at GM-FTAI Holdco LLC.</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Provision for (benefit from) income taxes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Provision for income taxes increased $12.5 million and $32.5 million during the three and six months ended June 30, 2026, respectively, primarily due to the partial release of the valuation allowance in connection with the acquisition of Long Ridge Energy &amp; Power LLC in February 2025, offset by assets being classified as held for sale at Long Ridge Energy &amp; Power LLC in the current quarter.</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Net (loss) income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loss increased $69.5 million and $316.9 million during the three and six months ended June 30, 2026, respectively, primarily due to the changes noted above.</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Adjusted EBITDA increased $30.2 million and decreased $54.4 million during the three and six months ended June 30, 2026, respectively, primarily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32740"/>
                <wp:effectExtent l="0" t="0" r="0" b="0"/>
                <wp:wrapNone/>
                <wp:docPr id="50" name="Frame4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497F"/>
          <w:sz w:val="18"/>
        </w:rPr>
      </w:pPr>
      <w:r>
        <w:rPr>
          <w:rFonts w:ascii="Arial;sans-serif" w:hAnsi="Arial;sans-serif"/>
          <w:b/>
          <w:color w:val="00497F"/>
          <w:sz w:val="18"/>
        </w:rPr>
        <w:t>Railroad Segment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Layout w:type="fixed"/>
        <w:tblCellMar>
          <w:top w:w="28" w:type="dxa"/>
          <w:left w:w="28" w:type="dxa"/>
          <w:bottom w:w="28" w:type="dxa"/>
          <w:right w:w="28" w:type="dxa"/>
        </w:tblCellMar>
      </w:tblPr>
      <w:tblGrid>
        <w:gridCol w:w="1144"/>
        <w:gridCol w:w="798"/>
        <w:gridCol w:w="801"/>
        <w:gridCol w:w="200"/>
        <w:gridCol w:w="691"/>
        <w:gridCol w:w="111"/>
        <w:gridCol w:w="111"/>
        <w:gridCol w:w="111"/>
        <w:gridCol w:w="111"/>
        <w:gridCol w:w="200"/>
        <w:gridCol w:w="569"/>
        <w:gridCol w:w="111"/>
        <w:gridCol w:w="109"/>
        <w:gridCol w:w="109"/>
        <w:gridCol w:w="109"/>
        <w:gridCol w:w="196"/>
        <w:gridCol w:w="673"/>
        <w:gridCol w:w="109"/>
        <w:gridCol w:w="109"/>
        <w:gridCol w:w="109"/>
        <w:gridCol w:w="109"/>
        <w:gridCol w:w="196"/>
        <w:gridCol w:w="673"/>
        <w:gridCol w:w="109"/>
        <w:gridCol w:w="109"/>
        <w:gridCol w:w="109"/>
        <w:gridCol w:w="109"/>
        <w:gridCol w:w="196"/>
        <w:gridCol w:w="646"/>
        <w:gridCol w:w="109"/>
        <w:gridCol w:w="109"/>
        <w:gridCol w:w="109"/>
        <w:gridCol w:w="109"/>
        <w:gridCol w:w="196"/>
        <w:gridCol w:w="673"/>
        <w:gridCol w:w="163"/>
      </w:tblGrid>
      <w:tr>
        <w:trPr/>
        <w:tc>
          <w:tcPr>
            <w:tcW w:w="114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Rail revenues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88,384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170,407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Terminal services revenues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92,154</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42,140 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177,162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92,391 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51,334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98,098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2,491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19,512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38,999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73,337</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34,293 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141,196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78,785 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sale of assets, net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(expense) income</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(1,288)</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(3,706)</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income taxes</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17,529</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32,672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9,900 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14,292</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4,945 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income attributable to non-controlling interest in consolidated subsidiaries - common stockholders</w:t>
            </w:r>
          </w:p>
        </w:tc>
        <w:tc>
          <w:tcPr>
            <w:tcW w:w="8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Preferred dividends and accretion on redeemable non-controlling interests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33,230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70,451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 attributable to common stockholders</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(18,839)</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(26,159)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(44,053)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(65,112)</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32740"/>
                <wp:effectExtent l="0" t="0" r="0" b="0"/>
                <wp:wrapNone/>
                <wp:docPr id="51" name="Frame5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sets forth a reconciliation of net (loss) income attributable to common stockholders to Adjusted EBITDA:</w:t>
      </w:r>
    </w:p>
    <w:tbl>
      <w:tblPr>
        <w:tblW w:w="10205" w:type="dxa"/>
        <w:jc w:val="left"/>
        <w:tblInd w:w="0" w:type="dxa"/>
        <w:tblLayout w:type="fixed"/>
        <w:tblCellMar>
          <w:top w:w="28" w:type="dxa"/>
          <w:left w:w="28" w:type="dxa"/>
          <w:bottom w:w="28" w:type="dxa"/>
          <w:right w:w="28" w:type="dxa"/>
        </w:tblCellMar>
      </w:tblPr>
      <w:tblGrid>
        <w:gridCol w:w="991"/>
        <w:gridCol w:w="831"/>
        <w:gridCol w:w="826"/>
        <w:gridCol w:w="199"/>
        <w:gridCol w:w="691"/>
        <w:gridCol w:w="110"/>
        <w:gridCol w:w="110"/>
        <w:gridCol w:w="110"/>
        <w:gridCol w:w="110"/>
        <w:gridCol w:w="199"/>
        <w:gridCol w:w="658"/>
        <w:gridCol w:w="110"/>
        <w:gridCol w:w="109"/>
        <w:gridCol w:w="109"/>
        <w:gridCol w:w="109"/>
        <w:gridCol w:w="196"/>
        <w:gridCol w:w="677"/>
        <w:gridCol w:w="109"/>
        <w:gridCol w:w="109"/>
        <w:gridCol w:w="109"/>
        <w:gridCol w:w="109"/>
        <w:gridCol w:w="196"/>
        <w:gridCol w:w="677"/>
        <w:gridCol w:w="109"/>
        <w:gridCol w:w="109"/>
        <w:gridCol w:w="109"/>
        <w:gridCol w:w="109"/>
        <w:gridCol w:w="196"/>
        <w:gridCol w:w="646"/>
        <w:gridCol w:w="109"/>
        <w:gridCol w:w="109"/>
        <w:gridCol w:w="109"/>
        <w:gridCol w:w="109"/>
        <w:gridCol w:w="196"/>
        <w:gridCol w:w="677"/>
        <w:gridCol w:w="164"/>
      </w:tblGrid>
      <w:tr>
        <w:trPr/>
        <w:tc>
          <w:tcPr>
            <w:tcW w:w="99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 attributable to common stockholders</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(18,839)</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(44,053)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(65,112)</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2,491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Depreciation and amortization expense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19,512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38,999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1,905</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 Pro-rata share of Adjusted EBITDA from unconsolidated entities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Dividends and accretion of redeemable and convertible preferred stock</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33,230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70,451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and other costs on pension and OPEB liabilities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Other non-recurring items </w:t>
            </w:r>
            <w:r>
              <w:rPr>
                <w:rFonts w:ascii="Arial;sans-serif" w:hAnsi="Arial;sans-serif"/>
                <w:b w:val="false"/>
                <w:color w:val="000000"/>
                <w:sz w:val="10"/>
              </w:rPr>
              <w:t>(1)</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earnings of unconsolidated entities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Less: Non-controlling share of Adjusted EBITDA</w:t>
            </w:r>
            <w:r>
              <w:rPr>
                <w:color w:val="000000"/>
              </w:rPr>
              <w:t xml:space="preserve"> </w:t>
            </w:r>
            <w:r>
              <w:rPr>
                <w:rFonts w:ascii="Arial;sans-serif" w:hAnsi="Arial;sans-serif"/>
                <w:b w:val="false"/>
                <w:color w:val="000000"/>
                <w:sz w:val="10"/>
              </w:rPr>
              <w:t>(2)</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42,356</w:t>
            </w: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20,671 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82,589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41,994 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the following items for the three months ended June 30, 2026: Railroad severance and integration expenses of $857. Includes the following item for the three months ended June 30, 2025: Railroad severance expense of $298. Includes the following items for the six months ended June 30, 2026: Railroad severance and integration expenses of $2,328. Includes the following item for the six months ended June 30, 2025: Railroad severance expense of $298.</w:t>
      </w:r>
    </w:p>
    <w:p>
      <w:pPr>
        <w:pStyle w:val="TextBody"/>
        <w:bidi w:val="0"/>
        <w:spacing w:lineRule="auto" w:line="288" w:before="120" w:after="283"/>
        <w:ind w:left="0" w:right="0" w:hanging="18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the following items for the three months ended June 30, 2026 and 2025: (i) equity-based compensation expense of $3 and $2, (ii) provision for income taxes of $20 and $5, (iii) interest expense of $12 and $1, (iv) depreciation and amortization expense of $126 and $31, (v) acquisition and transaction expenses of $11 and $17, (vi) interest and other costs on pension and OPEB liabilities of $(2) and $(1), (vii) dividends and accretion of redeemable preferred stock of $216 and $—, (viii) changes in fair value of non-hedge derivative instruments of $1 and $— and (ix) other non-recurring items of $7 and $2, respectively. Includes the following items for the six months ended June 30, 2026 and 2025: (i) equity-based compensation expense of $5 and $4, (ii) provision for income taxes of $36 and $10, (iii) interest expense of $19 and $2, (iv) depreciation and amortization expense of $218 and $62, (v) acquisition and transaction expenses of $19 and $18, (vi) interest and other costs on pension and OPEB liabilities of $(2) and $(3), (vii) asset impairment charges of $— and $27, (viii) dividends and accretion of redeemable preferred stock of $391 and $—, (ix) changes in fair value of non-hedge derivative instruments of $5 and $— and (x) other non-recurring items of $13 and $2, respectively.</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revenues increased $50.0 million and $92.4 million during the three and six months ended June 30, 2026, respectively, primarily due to the completed acquisition and consolidation of Wheeling in December 2025 and increased carloads and fuel surcharges.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jc w:val="both"/>
        <w:rPr/>
      </w:pPr>
      <w:r>
        <w:rPr>
          <w:rFonts w:ascii="Arial;sans-serif" w:hAnsi="Arial;sans-serif"/>
          <w:b w:val="false"/>
          <w:color w:val="000000"/>
          <w:sz w:val="18"/>
        </w:rPr>
        <w:t>Total expenses increased $39.0 million</w:t>
      </w:r>
      <w:r>
        <w:rPr>
          <w:color w:val="000000"/>
        </w:rPr>
        <w:t xml:space="preserve"> </w:t>
      </w:r>
      <w:r>
        <w:rPr>
          <w:rFonts w:ascii="Arial;sans-serif" w:hAnsi="Arial;sans-serif"/>
          <w:b w:val="false"/>
          <w:color w:val="000000"/>
          <w:sz w:val="18"/>
        </w:rPr>
        <w:t>during the three months ended June 30, 2026, which primarily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an increase in operating expenses of $29.2 million due to the completed acquisition and consolidation of Wheeling in December 2025; and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depreciation and amortization expense of $14.5 million related to depreciation expense on Wheeling assets due to the completed acquisition and consolidation in December 2025; partially offset by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decrease in asset impairment of $4.4 million primarily due to a railcar adjustment that was recorded in the prior year.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$78.8 million during the six months ended June 30, 2026, which primarily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operating expenses of $53.0 million due to the completed acquisition and consolidation of Wheeling in December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32740"/>
                <wp:effectExtent l="0" t="0" r="0" b="0"/>
                <wp:wrapNone/>
                <wp:docPr id="52" name="Frame5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an increase in acquisition and transaction costs of $1.2 million related to the completed acquisition and consolidation of Wheeling in December 2025 and Tidewater in June 2026; and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depreciation and amortization expense of $28.9 million related to depreciation expense on Wheeling assets due to the completed acquisition and consolidation in December 2025; offset by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decrease in asset impairment of $4.4 million primarily due to a railcar adjustment that was recorded in the prior year.</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(expense) income</w:t>
      </w:r>
    </w:p>
    <w:p>
      <w:pPr>
        <w:pStyle w:val="TextBody"/>
        <w:bidi w:val="0"/>
        <w:spacing w:lineRule="auto" w:line="288" w:before="120" w:after="283"/>
        <w:jc w:val="both"/>
        <w:rPr/>
      </w:pPr>
      <w:r>
        <w:rPr>
          <w:rFonts w:ascii="Arial;sans-serif" w:hAnsi="Arial;sans-serif"/>
          <w:b w:val="false"/>
          <w:color w:val="000000"/>
          <w:sz w:val="18"/>
        </w:rPr>
        <w:t>Total other expense increased $1.6 million and $3.7 million</w:t>
      </w:r>
      <w:r>
        <w:rPr>
          <w:color w:val="000000"/>
        </w:rPr>
        <w:t xml:space="preserve"> </w:t>
      </w:r>
      <w:r>
        <w:rPr>
          <w:rFonts w:ascii="Arial;sans-serif" w:hAnsi="Arial;sans-serif"/>
          <w:b w:val="false"/>
          <w:color w:val="000000"/>
          <w:sz w:val="18"/>
        </w:rPr>
        <w:t>during the three and six months ended June 30, 2026, respectively, which primarily reflects an increase in interest expense on the RailCo Revolver taken in November 2025.</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Provision for income taxes</w:t>
      </w:r>
    </w:p>
    <w:p>
      <w:pPr>
        <w:pStyle w:val="TextBody"/>
        <w:bidi w:val="0"/>
        <w:spacing w:lineRule="auto" w:line="288" w:before="120" w:after="283"/>
        <w:jc w:val="both"/>
        <w:rPr/>
      </w:pPr>
      <w:r>
        <w:rPr>
          <w:rFonts w:ascii="Arial;sans-serif" w:hAnsi="Arial;sans-serif"/>
          <w:b w:val="false"/>
          <w:color w:val="000000"/>
          <w:sz w:val="18"/>
        </w:rPr>
        <w:t>Provision for income taxes increased $2.5 million and $5.0 million</w:t>
      </w:r>
      <w:r>
        <w:rPr>
          <w:color w:val="000000"/>
        </w:rPr>
        <w:t xml:space="preserve"> </w:t>
      </w:r>
      <w:r>
        <w:rPr>
          <w:rFonts w:ascii="Arial;sans-serif" w:hAnsi="Arial;sans-serif"/>
          <w:b w:val="false"/>
          <w:color w:val="000000"/>
          <w:sz w:val="18"/>
        </w:rPr>
        <w:t>during the three and six months ended June 30, 2026, respectively, primarily due to the completed acquisition and consolidation of Wheeling in December 2025.</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Adjusted EBITDA increased $21.7 million and $42.0 million during the three and six months ended June 30, 2026, respectively, primarily due to the activity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18"/>
        </w:rPr>
      </w:pPr>
      <w:r>
        <w:rPr>
          <w:rFonts w:ascii="Arial;sans-serif" w:hAnsi="Arial;sans-serif"/>
          <w:b/>
          <w:color w:val="00497F"/>
          <w:sz w:val="18"/>
        </w:rPr>
        <w:t>Jefferson Terminal Segment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Layout w:type="fixed"/>
        <w:tblCellMar>
          <w:top w:w="28" w:type="dxa"/>
          <w:left w:w="28" w:type="dxa"/>
          <w:bottom w:w="28" w:type="dxa"/>
          <w:right w:w="28" w:type="dxa"/>
        </w:tblCellMar>
      </w:tblPr>
      <w:tblGrid>
        <w:gridCol w:w="1207"/>
        <w:gridCol w:w="877"/>
        <w:gridCol w:w="880"/>
        <w:gridCol w:w="201"/>
        <w:gridCol w:w="610"/>
        <w:gridCol w:w="111"/>
        <w:gridCol w:w="111"/>
        <w:gridCol w:w="111"/>
        <w:gridCol w:w="111"/>
        <w:gridCol w:w="201"/>
        <w:gridCol w:w="703"/>
        <w:gridCol w:w="111"/>
        <w:gridCol w:w="109"/>
        <w:gridCol w:w="109"/>
        <w:gridCol w:w="109"/>
        <w:gridCol w:w="196"/>
        <w:gridCol w:w="556"/>
        <w:gridCol w:w="109"/>
        <w:gridCol w:w="109"/>
        <w:gridCol w:w="109"/>
        <w:gridCol w:w="109"/>
        <w:gridCol w:w="196"/>
        <w:gridCol w:w="683"/>
        <w:gridCol w:w="109"/>
        <w:gridCol w:w="109"/>
        <w:gridCol w:w="109"/>
        <w:gridCol w:w="109"/>
        <w:gridCol w:w="196"/>
        <w:gridCol w:w="683"/>
        <w:gridCol w:w="109"/>
        <w:gridCol w:w="109"/>
        <w:gridCol w:w="109"/>
        <w:gridCol w:w="109"/>
        <w:gridCol w:w="196"/>
        <w:gridCol w:w="467"/>
        <w:gridCol w:w="163"/>
      </w:tblGrid>
      <w:tr>
        <w:trPr/>
        <w:tc>
          <w:tcPr>
            <w:tcW w:w="120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Terminal services revenues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23,661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50,339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8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24,316</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21,628 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51,634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10,557 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18,740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44,553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11,997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23,984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8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30,737</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28,377 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68,537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10,827 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modification or extinguishment of debt</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Interest expense </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(13,636)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expense</w:t>
            </w:r>
          </w:p>
        </w:tc>
        <w:tc>
          <w:tcPr>
            <w:tcW w:w="8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(13,075)</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(15,460)</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(34,932)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(3,567)</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before income taxes</w:t>
            </w:r>
          </w:p>
        </w:tc>
        <w:tc>
          <w:tcPr>
            <w:tcW w:w="8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(19,496)</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(51,835)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(3,837)</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8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(19,632)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(22,545)</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(52,183)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(3,426)</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w:t>
            </w:r>
          </w:p>
        </w:tc>
        <w:tc>
          <w:tcPr>
            <w:tcW w:w="8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(11,075)</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(10,579)</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(24,754)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(3,091)</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common stockholders</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(8,557)</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(11,966)</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(27,429)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(27,094)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32740"/>
                <wp:effectExtent l="0" t="0" r="0" b="0"/>
                <wp:wrapNone/>
                <wp:docPr id="53" name="Frame5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loss attributable to common stockholders to Adjusted EBITDA:</w:t>
      </w:r>
    </w:p>
    <w:tbl>
      <w:tblPr>
        <w:tblW w:w="10205" w:type="dxa"/>
        <w:jc w:val="left"/>
        <w:tblInd w:w="0" w:type="dxa"/>
        <w:tblLayout w:type="fixed"/>
        <w:tblCellMar>
          <w:top w:w="28" w:type="dxa"/>
          <w:left w:w="28" w:type="dxa"/>
          <w:bottom w:w="28" w:type="dxa"/>
          <w:right w:w="28" w:type="dxa"/>
        </w:tblCellMar>
      </w:tblPr>
      <w:tblGrid>
        <w:gridCol w:w="1058"/>
        <w:gridCol w:w="892"/>
        <w:gridCol w:w="887"/>
        <w:gridCol w:w="199"/>
        <w:gridCol w:w="673"/>
        <w:gridCol w:w="110"/>
        <w:gridCol w:w="110"/>
        <w:gridCol w:w="110"/>
        <w:gridCol w:w="110"/>
        <w:gridCol w:w="199"/>
        <w:gridCol w:w="693"/>
        <w:gridCol w:w="110"/>
        <w:gridCol w:w="109"/>
        <w:gridCol w:w="109"/>
        <w:gridCol w:w="109"/>
        <w:gridCol w:w="196"/>
        <w:gridCol w:w="556"/>
        <w:gridCol w:w="109"/>
        <w:gridCol w:w="109"/>
        <w:gridCol w:w="109"/>
        <w:gridCol w:w="109"/>
        <w:gridCol w:w="196"/>
        <w:gridCol w:w="679"/>
        <w:gridCol w:w="109"/>
        <w:gridCol w:w="109"/>
        <w:gridCol w:w="109"/>
        <w:gridCol w:w="109"/>
        <w:gridCol w:w="196"/>
        <w:gridCol w:w="679"/>
        <w:gridCol w:w="109"/>
        <w:gridCol w:w="109"/>
        <w:gridCol w:w="109"/>
        <w:gridCol w:w="109"/>
        <w:gridCol w:w="196"/>
        <w:gridCol w:w="556"/>
        <w:gridCol w:w="165"/>
      </w:tblGrid>
      <w:tr>
        <w:trPr/>
        <w:tc>
          <w:tcPr>
            <w:tcW w:w="105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common stockholders</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(8,557)</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(11,966)</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(27,429)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Depreciation and amortization expense </w:t>
            </w:r>
            <w:r>
              <w:rPr>
                <w:rFonts w:ascii="Arial;sans-serif" w:hAnsi="Arial;sans-serif"/>
                <w:b w:val="false"/>
                <w:color w:val="000000"/>
                <w:sz w:val="10"/>
              </w:rPr>
              <w:t>(1)</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13,229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13,636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Pro-rata share of Adjusted EBITDA from unconsolidated entities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Dividends and accretion of redeemable and convertible preferred stock</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and other costs on pension and OPEB liabilities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 Other non-recurring items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earnings of unconsolidated entities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Less: Non-controlling share of Adjusted EBITDA </w:t>
            </w:r>
            <w:r>
              <w:rPr>
                <w:rFonts w:ascii="Arial;sans-serif" w:hAnsi="Arial;sans-serif"/>
                <w:b w:val="false"/>
                <w:color w:val="000000"/>
                <w:sz w:val="10"/>
              </w:rPr>
              <w:t>(2)</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(6,502)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13,014</w:t>
            </w: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11,082 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27,451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8,419 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the following items for the three months ended June 30, 2026 and 2025: (i) depreciation and amortization expense of $11,997 and $11,290 and (ii) capitalized contract costs amortization of $1,232 and $1,232, respectively. Includes the following items for the six months ended June 30, 2026 and 2025: (i) depreciation and amortization expense of $23,984 and $22,530 and (ii) capitalized contract costs amortization of $2,465 and $2,465, respectively.</w:t>
      </w:r>
    </w:p>
    <w:p>
      <w:pPr>
        <w:pStyle w:val="TextBody"/>
        <w:bidi w:val="0"/>
        <w:spacing w:lineRule="auto" w:line="288" w:before="120" w:after="283"/>
        <w:ind w:left="0" w:right="0" w:hanging="18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the following items for the three months ended June 30, 2026 and 2025: (i) equity-based compensation expense of $249 and $76, (ii) provision for income taxes of $32 and $78, (iii) interest expense of $3,157 and $3,707, (iv) depreciation and amortization expense of $3,064 and $2,900 and (v) losses on the modification or extinguishment of debt of $— and $171, respectively. Includes the following items for the six months ended June 30, 2026 and 2025: (i) equity-based compensation expense of $1,928 and $194, (ii) provision for income taxes of $81 and $176, (iii) interest expense of $6,918 and $7,556, (iv) depreciation and amortization expense of $6,126 and $5,789, (v) acquisition and transaction expenses of $— and $16 and (vi) losses on the modification or extinguishment of debt of $1,489 and $173, respectively.</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jc w:val="both"/>
        <w:rPr/>
      </w:pPr>
      <w:r>
        <w:rPr>
          <w:rFonts w:ascii="Arial;sans-serif" w:hAnsi="Arial;sans-serif"/>
          <w:b w:val="false"/>
          <w:color w:val="000000"/>
          <w:sz w:val="18"/>
        </w:rPr>
        <w:t>Total revenues increased $2.7 million and $10.6 million</w:t>
      </w:r>
      <w:r>
        <w:rPr>
          <w:color w:val="000000"/>
        </w:rPr>
        <w:t xml:space="preserve"> </w:t>
      </w:r>
      <w:r>
        <w:rPr>
          <w:rFonts w:ascii="Arial;sans-serif" w:hAnsi="Arial;sans-serif"/>
          <w:b w:val="false"/>
          <w:color w:val="000000"/>
          <w:sz w:val="18"/>
        </w:rPr>
        <w:t>during the three and six months ended June 30, 2026, respectively, due to an increase in average refined and ammonia product throughput volumes.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$2.4 million during the three months ended June 30, 2026, which primarily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operating expenses of $1.7 million primarily due to costs associated with increased terminal throughput activity;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depreciation and amortization of $0.7 million due to additional assets being placed into service.</w:t>
      </w:r>
    </w:p>
    <w:p>
      <w:pPr>
        <w:pStyle w:val="TextBody"/>
        <w:bidi w:val="0"/>
        <w:spacing w:lineRule="auto" w:line="288" w:before="120" w:after="283"/>
        <w:ind w:left="0" w:right="0" w:hanging="180"/>
        <w:jc w:val="both"/>
        <w:rPr>
          <w:rFonts w:ascii="Arial;sans-serif" w:hAnsi="Arial;sans-serif"/>
          <w:b w:val="false"/>
          <w:color w:val="000000"/>
          <w:sz w:val="18"/>
        </w:rPr>
      </w:pPr>
      <w:r>
        <w:rPr>
          <w:rFonts w:ascii="Arial;sans-serif" w:hAnsi="Arial;sans-serif"/>
          <w:b w:val="false"/>
          <w:color w:val="000000"/>
          <w:sz w:val="18"/>
        </w:rPr>
        <w:t>Total expenses increased $10.8 million during the six months ended June 30, 2026, which primarily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operating expenses of $9.4 million primarily due to costs associated with stock-based compensation and costs associated with increased terminal throughput activity;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depreciation and amortization of $1.5 million due to additional assets being placed into service.</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(expense) income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expense decreased $2.4 million during the three months ended June 30, 2026, which primarily reflects (i) a decrease in interest expense of $2.4 million driven by fewer current quarter borrowings and (ii) a decrease in loss on modification or extinguishment of debt of $0.7 million related to a prior year loss on extinguishment associated with the Series 2024 Bond issuance, offset by a decrease in other income of $0.7 million from the interest on funds from the Series 2024 Bonds.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32740"/>
                <wp:effectExtent l="0" t="0" r="0" b="0"/>
                <wp:wrapNone/>
                <wp:docPr id="54" name="Frame5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expense increased $3.6 million during the six months ended June 30, 2026, which primarily reflects an increase in loss on modification or extinguishment of debt of $5.7 million related to a current year loss on extinguishment associated with the June 2025 Jefferson Credit Agreement, offset by (i) a decrease in interest expense of $2.8 million driven by fewer current year borrowings and (ii) a decrease in other income of $0.6 million from the interest on funds from the Series 2024 Bonds.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Adjusted EBITDA increased $1.9 million and $8.4 million during the three and six months ended June 30, 2026, respectively, primarily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18"/>
        </w:rPr>
      </w:pPr>
      <w:r>
        <w:rPr>
          <w:rFonts w:ascii="Arial;sans-serif" w:hAnsi="Arial;sans-serif"/>
          <w:b/>
          <w:color w:val="00497F"/>
          <w:sz w:val="18"/>
        </w:rPr>
        <w:t>Repauno Segment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Layout w:type="fixed"/>
        <w:tblCellMar>
          <w:top w:w="28" w:type="dxa"/>
          <w:left w:w="28" w:type="dxa"/>
          <w:bottom w:w="28" w:type="dxa"/>
          <w:right w:w="28" w:type="dxa"/>
        </w:tblCellMar>
      </w:tblPr>
      <w:tblGrid>
        <w:gridCol w:w="1198"/>
        <w:gridCol w:w="868"/>
        <w:gridCol w:w="870"/>
        <w:gridCol w:w="204"/>
        <w:gridCol w:w="620"/>
        <w:gridCol w:w="113"/>
        <w:gridCol w:w="113"/>
        <w:gridCol w:w="113"/>
        <w:gridCol w:w="113"/>
        <w:gridCol w:w="204"/>
        <w:gridCol w:w="620"/>
        <w:gridCol w:w="113"/>
        <w:gridCol w:w="109"/>
        <w:gridCol w:w="109"/>
        <w:gridCol w:w="109"/>
        <w:gridCol w:w="196"/>
        <w:gridCol w:w="556"/>
        <w:gridCol w:w="109"/>
        <w:gridCol w:w="109"/>
        <w:gridCol w:w="109"/>
        <w:gridCol w:w="109"/>
        <w:gridCol w:w="196"/>
        <w:gridCol w:w="682"/>
        <w:gridCol w:w="109"/>
        <w:gridCol w:w="109"/>
        <w:gridCol w:w="109"/>
        <w:gridCol w:w="109"/>
        <w:gridCol w:w="196"/>
        <w:gridCol w:w="682"/>
        <w:gridCol w:w="109"/>
        <w:gridCol w:w="109"/>
        <w:gridCol w:w="109"/>
        <w:gridCol w:w="109"/>
        <w:gridCol w:w="196"/>
        <w:gridCol w:w="556"/>
        <w:gridCol w:w="161"/>
      </w:tblGrid>
      <w:tr>
        <w:trPr/>
        <w:tc>
          <w:tcPr>
            <w:tcW w:w="119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29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Terminal services revenues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5,533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8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5,537</w:t>
            </w: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6,377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2,655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8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9,032</w:t>
            </w: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17,921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2936"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modification or extinguishment of debt</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(1,405)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expense</w:t>
            </w:r>
          </w:p>
        </w:tc>
        <w:tc>
          <w:tcPr>
            <w:tcW w:w="8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(493)</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(3,221)</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before income taxes</w:t>
            </w:r>
          </w:p>
        </w:tc>
        <w:tc>
          <w:tcPr>
            <w:tcW w:w="8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(3,988)</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(10,152)</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(12,544)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8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(3,990)</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(10,177)</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(12,546)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w:t>
            </w:r>
          </w:p>
        </w:tc>
        <w:tc>
          <w:tcPr>
            <w:tcW w:w="8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(183)</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common stockholders</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(3,807)</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(9,610)</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(11,972)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(16,403)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4,431 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32740"/>
                <wp:effectExtent l="0" t="0" r="0" b="0"/>
                <wp:wrapNone/>
                <wp:docPr id="55" name="Frame5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sets forth a reconciliation of net loss attributable to common stockholders to Adjusted EBITDA:</w:t>
      </w:r>
    </w:p>
    <w:tbl>
      <w:tblPr>
        <w:tblW w:w="10205" w:type="dxa"/>
        <w:jc w:val="left"/>
        <w:tblInd w:w="0" w:type="dxa"/>
        <w:tblLayout w:type="fixed"/>
        <w:tblCellMar>
          <w:top w:w="28" w:type="dxa"/>
          <w:left w:w="28" w:type="dxa"/>
          <w:bottom w:w="28" w:type="dxa"/>
          <w:right w:w="28" w:type="dxa"/>
        </w:tblCellMar>
      </w:tblPr>
      <w:tblGrid>
        <w:gridCol w:w="1098"/>
        <w:gridCol w:w="929"/>
        <w:gridCol w:w="924"/>
        <w:gridCol w:w="203"/>
        <w:gridCol w:w="616"/>
        <w:gridCol w:w="113"/>
        <w:gridCol w:w="113"/>
        <w:gridCol w:w="113"/>
        <w:gridCol w:w="113"/>
        <w:gridCol w:w="203"/>
        <w:gridCol w:w="616"/>
        <w:gridCol w:w="113"/>
        <w:gridCol w:w="109"/>
        <w:gridCol w:w="109"/>
        <w:gridCol w:w="109"/>
        <w:gridCol w:w="196"/>
        <w:gridCol w:w="556"/>
        <w:gridCol w:w="109"/>
        <w:gridCol w:w="109"/>
        <w:gridCol w:w="109"/>
        <w:gridCol w:w="109"/>
        <w:gridCol w:w="196"/>
        <w:gridCol w:w="681"/>
        <w:gridCol w:w="109"/>
        <w:gridCol w:w="109"/>
        <w:gridCol w:w="109"/>
        <w:gridCol w:w="109"/>
        <w:gridCol w:w="196"/>
        <w:gridCol w:w="681"/>
        <w:gridCol w:w="109"/>
        <w:gridCol w:w="109"/>
        <w:gridCol w:w="109"/>
        <w:gridCol w:w="109"/>
        <w:gridCol w:w="196"/>
        <w:gridCol w:w="556"/>
        <w:gridCol w:w="158"/>
      </w:tblGrid>
      <w:tr>
        <w:trPr/>
        <w:tc>
          <w:tcPr>
            <w:tcW w:w="109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common stockholders</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(3,807)</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(9,610)</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(11,972)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Depreciation and amortization expense</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2,655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Pro-rata share of Adjusted EBITDA from unconsolidated entities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Dividends and accretion of redeemable and convertible preferred stock</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and other costs on pension and OPEB liabilities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Other non-recurring items </w:t>
            </w:r>
            <w:r>
              <w:rPr>
                <w:rFonts w:ascii="Arial;sans-serif" w:hAnsi="Arial;sans-serif"/>
                <w:b w:val="false"/>
                <w:color w:val="000000"/>
                <w:sz w:val="10"/>
              </w:rPr>
              <w:t>(1)</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earnings of unconsolidated entities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Less: Non-controlling share of Adjusted EBITDA </w:t>
            </w:r>
            <w:r>
              <w:rPr>
                <w:rFonts w:ascii="Arial;sans-serif" w:hAnsi="Arial;sans-serif"/>
                <w:b w:val="false"/>
                <w:color w:val="000000"/>
                <w:sz w:val="10"/>
              </w:rPr>
              <w:t>(2)</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w:t>
            </w:r>
            <w:r>
              <w:rPr>
                <w:color w:val="000000"/>
              </w:rPr>
              <w:t>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(2,089)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the following items for the six months ended June 30, 2025: (i) incidental utility rebillings of $650 and (ii) loss on inventory heel of $385.</w:t>
      </w:r>
    </w:p>
    <w:p>
      <w:pPr>
        <w:pStyle w:val="TextBody"/>
        <w:bidi w:val="0"/>
        <w:spacing w:lineRule="auto" w:line="288" w:before="120" w:after="283"/>
        <w:ind w:left="0" w:right="0" w:hanging="18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the following items for the three months ended June 30, 2026 and 2025: (i) equity-based compensation expense of $8 and $8, (ii) provision for income taxes of $— and $1, (iii) interest expense of $64 and $(2), (iv) depreciation and amortization expense of $123 and $140, (v) acquisition and transaction expenses of $— and $132, (vi) losses on the modification or extinguishment of debt of $— and $185 and (vii) asset impairment charges of $— and $(19), respectively. Includes the following items for the six months ended June 30, 2026 and 2025: (i) equity-based compensation expense of $81 and $26, (ii) provision for income taxes of $— and $2, (iii) interest expense of $154 and $88, (iv) depreciation and amortization expense of $242 and $289, (v) acquisition and transaction expenses of $— and $132, (vi) losses on the modification or extinguishment of debt of $— and $185 and (vii) other non-recurring items of $— and $61, respectively.</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jc w:val="both"/>
        <w:rPr/>
      </w:pPr>
      <w:r>
        <w:rPr>
          <w:rFonts w:ascii="Arial;sans-serif" w:hAnsi="Arial;sans-serif"/>
          <w:b w:val="false"/>
          <w:color w:val="000000"/>
          <w:sz w:val="18"/>
        </w:rPr>
        <w:t>Total revenues increased $2.5 million</w:t>
      </w:r>
      <w:r>
        <w:rPr>
          <w:color w:val="000000"/>
        </w:rPr>
        <w:t xml:space="preserve"> </w:t>
      </w:r>
      <w:r>
        <w:rPr>
          <w:rFonts w:ascii="Arial;sans-serif" w:hAnsi="Arial;sans-serif"/>
          <w:b w:val="false"/>
          <w:color w:val="000000"/>
          <w:sz w:val="18"/>
        </w:rPr>
        <w:t>during the three months ended</w:t>
      </w:r>
      <w:r>
        <w:rPr>
          <w:color w:val="000000"/>
        </w:rPr>
        <w:t xml:space="preserve"> </w:t>
      </w:r>
      <w:r>
        <w:rPr>
          <w:rFonts w:ascii="Arial;sans-serif" w:hAnsi="Arial;sans-serif"/>
          <w:b w:val="false"/>
          <w:color w:val="000000"/>
          <w:sz w:val="18"/>
        </w:rPr>
        <w:t>June 30, 2026, primarily due to higher volumes stemming from the terminal’s current butane contract compared to when the contract initially commenced in April 2025.</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decreased $0.9 million during the three months ended June 30, 2026, which primarily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operating expenses of $0.9 million primarily due to costs associated with increased terminal throughput activity; partially offset by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decrease in acquisition and transaction expenses of $2.0 million related to prior period consulting fees.</w:t>
      </w:r>
    </w:p>
    <w:p>
      <w:pPr>
        <w:pStyle w:val="TextBody"/>
        <w:bidi w:val="0"/>
        <w:spacing w:lineRule="auto" w:line="288" w:before="120" w:after="283"/>
        <w:ind w:left="0" w:right="0" w:hanging="180"/>
        <w:jc w:val="both"/>
        <w:rPr>
          <w:rFonts w:ascii="Arial;sans-serif" w:hAnsi="Arial;sans-serif"/>
          <w:b w:val="false"/>
          <w:color w:val="000000"/>
          <w:sz w:val="18"/>
        </w:rPr>
      </w:pPr>
      <w:r>
        <w:rPr>
          <w:rFonts w:ascii="Arial;sans-serif" w:hAnsi="Arial;sans-serif"/>
          <w:b w:val="false"/>
          <w:color w:val="000000"/>
          <w:sz w:val="18"/>
        </w:rPr>
        <w:t>Total expenses decreased $1.5 million during the six months ended June 30, 2026, which primarily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operating expenses of $0.6 million primarily due to costs associated with stock-based compensation and costs associated with increased terminal throughput activity; partially offset by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decrease in acquisition and transaction expenses of $2.3 million</w:t>
      </w:r>
      <w:r>
        <w:rPr>
          <w:color w:val="000000"/>
        </w:rPr>
        <w:t xml:space="preserve"> </w:t>
      </w:r>
      <w:r>
        <w:rPr>
          <w:rFonts w:ascii="Arial;sans-serif" w:hAnsi="Arial;sans-serif"/>
          <w:b w:val="false"/>
          <w:color w:val="000000"/>
          <w:sz w:val="18"/>
        </w:rPr>
        <w:t>related to prior period consulting fees.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(expense) income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Total other expense decreased $2.7 million during the three months ended June 30, 2026, which primarily reflects (i) a decrease in loss on modification or extinguishment of debt of $3.3 million from the prior year payoff of the DRP Revolver and March 2025 Credit Agreement, and (ii) an increase in other income of $0.8 million from the interest on the Series 2025 Bond funds, partially offset by an increase in interest expense of $1.4 million related to additional borrowings under the Series 2025 Bonds and DRP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32740"/>
                <wp:effectExtent l="0" t="0" r="0" b="0"/>
                <wp:wrapNone/>
                <wp:docPr id="56" name="Frame5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DB Term Loan in May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expense decreased $3.4 million during the six months ended June 30, 2026, which primarily reflects (i) a decrease in loss on modification or extinguishment of debt of $3.3 million from the prior year payoff of the DRP Revolver and March 2025 Credit Agreement, and (ii) an increase in other income of $1.9 million from the interest on the Series 2025 Bond funds, partially offset by an increase in interest expense of $1.8 million related to additional borrowings under the Series 2025 Bonds and DRP DB Term Loan in May 2025.</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pPr>
      <w:r>
        <w:rPr>
          <w:rFonts w:ascii="Arial;sans-serif" w:hAnsi="Arial;sans-serif"/>
          <w:b w:val="false"/>
          <w:color w:val="000000"/>
          <w:sz w:val="18"/>
        </w:rPr>
        <w:t>Adjusted EBITDA increased $2.3 million and $1.4 million</w:t>
      </w:r>
      <w:r>
        <w:rPr>
          <w:color w:val="000000"/>
        </w:rPr>
        <w:t xml:space="preserve"> </w:t>
      </w:r>
      <w:r>
        <w:rPr>
          <w:rFonts w:ascii="Arial;sans-serif" w:hAnsi="Arial;sans-serif"/>
          <w:b w:val="false"/>
          <w:color w:val="000000"/>
          <w:sz w:val="18"/>
        </w:rPr>
        <w:t>during the three and six months ended June 30, 2026, respectively, primarily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18"/>
        </w:rPr>
      </w:pPr>
      <w:r>
        <w:rPr>
          <w:rFonts w:ascii="Arial;sans-serif" w:hAnsi="Arial;sans-serif"/>
          <w:b/>
          <w:color w:val="00497F"/>
          <w:sz w:val="18"/>
        </w:rPr>
        <w:t>Power and Gas Segment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Layout w:type="fixed"/>
        <w:tblCellMar>
          <w:top w:w="28" w:type="dxa"/>
          <w:left w:w="28" w:type="dxa"/>
          <w:bottom w:w="28" w:type="dxa"/>
          <w:right w:w="28" w:type="dxa"/>
        </w:tblCellMar>
      </w:tblPr>
      <w:tblGrid>
        <w:gridCol w:w="1048"/>
        <w:gridCol w:w="707"/>
        <w:gridCol w:w="709"/>
        <w:gridCol w:w="197"/>
        <w:gridCol w:w="683"/>
        <w:gridCol w:w="109"/>
        <w:gridCol w:w="109"/>
        <w:gridCol w:w="109"/>
        <w:gridCol w:w="109"/>
        <w:gridCol w:w="197"/>
        <w:gridCol w:w="683"/>
        <w:gridCol w:w="109"/>
        <w:gridCol w:w="109"/>
        <w:gridCol w:w="109"/>
        <w:gridCol w:w="109"/>
        <w:gridCol w:w="196"/>
        <w:gridCol w:w="676"/>
        <w:gridCol w:w="109"/>
        <w:gridCol w:w="109"/>
        <w:gridCol w:w="109"/>
        <w:gridCol w:w="109"/>
        <w:gridCol w:w="196"/>
        <w:gridCol w:w="676"/>
        <w:gridCol w:w="109"/>
        <w:gridCol w:w="109"/>
        <w:gridCol w:w="109"/>
        <w:gridCol w:w="109"/>
        <w:gridCol w:w="196"/>
        <w:gridCol w:w="736"/>
        <w:gridCol w:w="109"/>
        <w:gridCol w:w="109"/>
        <w:gridCol w:w="109"/>
        <w:gridCol w:w="109"/>
        <w:gridCol w:w="196"/>
        <w:gridCol w:w="766"/>
        <w:gridCol w:w="163"/>
      </w:tblGrid>
      <w:tr>
        <w:trPr/>
        <w:tc>
          <w:tcPr>
            <w:tcW w:w="104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246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Terminal services revenues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Power revenues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42,568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88,196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revenues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48,844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110,850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51,760 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24,923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52,698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60,380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60,380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92,657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137,609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91,698 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earnings of unconsolidated entities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gain on sale of assets, net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(120,525)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modification or extinguishment of debt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(expense) income</w:t>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(25,317)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(47,588)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(146,909)</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income before income taxes</w:t>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(69,130)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(74,347)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(186,847)</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from income taxes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w:t>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(54,179)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(59,396)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154,957 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(214,353)</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w:t>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 attributable to common stockholders</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(54,104)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(59,275)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154,957 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(214,232)</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32740"/>
                <wp:effectExtent l="0" t="0" r="0" b="0"/>
                <wp:wrapNone/>
                <wp:docPr id="57" name="Frame5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(loss) income attributable to common stockholders to Adjusted EBITDA:</w:t>
      </w:r>
    </w:p>
    <w:tbl>
      <w:tblPr>
        <w:tblW w:w="10205" w:type="dxa"/>
        <w:jc w:val="left"/>
        <w:tblInd w:w="0" w:type="dxa"/>
        <w:tblLayout w:type="fixed"/>
        <w:tblCellMar>
          <w:top w:w="28" w:type="dxa"/>
          <w:left w:w="28" w:type="dxa"/>
          <w:bottom w:w="28" w:type="dxa"/>
          <w:right w:w="28" w:type="dxa"/>
        </w:tblCellMar>
      </w:tblPr>
      <w:tblGrid>
        <w:gridCol w:w="928"/>
        <w:gridCol w:w="774"/>
        <w:gridCol w:w="768"/>
        <w:gridCol w:w="197"/>
        <w:gridCol w:w="681"/>
        <w:gridCol w:w="109"/>
        <w:gridCol w:w="109"/>
        <w:gridCol w:w="109"/>
        <w:gridCol w:w="109"/>
        <w:gridCol w:w="197"/>
        <w:gridCol w:w="681"/>
        <w:gridCol w:w="109"/>
        <w:gridCol w:w="109"/>
        <w:gridCol w:w="109"/>
        <w:gridCol w:w="109"/>
        <w:gridCol w:w="196"/>
        <w:gridCol w:w="675"/>
        <w:gridCol w:w="109"/>
        <w:gridCol w:w="109"/>
        <w:gridCol w:w="109"/>
        <w:gridCol w:w="109"/>
        <w:gridCol w:w="196"/>
        <w:gridCol w:w="675"/>
        <w:gridCol w:w="109"/>
        <w:gridCol w:w="109"/>
        <w:gridCol w:w="109"/>
        <w:gridCol w:w="109"/>
        <w:gridCol w:w="196"/>
        <w:gridCol w:w="736"/>
        <w:gridCol w:w="109"/>
        <w:gridCol w:w="109"/>
        <w:gridCol w:w="109"/>
        <w:gridCol w:w="109"/>
        <w:gridCol w:w="196"/>
        <w:gridCol w:w="765"/>
        <w:gridCol w:w="164"/>
      </w:tblGrid>
      <w:tr>
        <w:trPr/>
        <w:tc>
          <w:tcPr>
            <w:tcW w:w="92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 attributable to common stockholders</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(54,104)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(59,275)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154,957 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(214,232)</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Benefit from income taxes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60,380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60,380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Depreciation and amortization expense </w:t>
            </w:r>
            <w:r>
              <w:rPr>
                <w:rFonts w:ascii="Arial;sans-serif" w:hAnsi="Arial;sans-serif"/>
                <w:b w:val="false"/>
                <w:color w:val="000000"/>
                <w:sz w:val="10"/>
              </w:rPr>
              <w:t>(1)</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(2)</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Dividends and accretion of redeemable and convertible preferred stock</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and other costs on pension and OPEB liabilities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Other non-recurring items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earnings of unconsolidated entities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Less: Non-controlling share of Adjusted EBITDA </w:t>
            </w:r>
            <w:r>
              <w:rPr>
                <w:rFonts w:ascii="Arial;sans-serif" w:hAnsi="Arial;sans-serif"/>
                <w:b w:val="false"/>
                <w:color w:val="000000"/>
                <w:sz w:val="10"/>
              </w:rPr>
              <w:t>(3)</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27,429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53,840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(107,221)</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the following items for the three months ended June 30, 2026 and 2025: (i) depreciation and amortization expense of $5,109 and $15,018</w:t>
      </w:r>
      <w:r>
        <w:rPr>
          <w:color w:val="000000"/>
        </w:rPr>
        <w:t xml:space="preserve"> </w:t>
      </w:r>
      <w:r>
        <w:rPr>
          <w:rFonts w:ascii="Arial;sans-serif" w:hAnsi="Arial;sans-serif"/>
          <w:b w:val="false"/>
          <w:color w:val="000000"/>
          <w:sz w:val="16"/>
        </w:rPr>
        <w:t>and (ii) amortization of other comprehensive income of $(287) and $(3,144), respectively. Includes the following items for the six months ended June 30, 2026 and 2025: (i) depreciation and amortization expense of $21,485 and $21,108 and (ii) amortization of other comprehensive income of $(10,523) and $(4,732), respectively.</w:t>
      </w:r>
    </w:p>
    <w:p>
      <w:pPr>
        <w:pStyle w:val="TextBody"/>
        <w:bidi w:val="0"/>
        <w:spacing w:lineRule="auto" w:line="288" w:before="120" w:after="283"/>
        <w:ind w:left="0" w:right="0" w:hanging="180"/>
        <w:jc w:val="both"/>
        <w:rPr/>
      </w:pPr>
      <w:r>
        <w:rPr>
          <w:rFonts w:ascii="Arial;sans-serif" w:hAnsi="Arial;sans-serif"/>
          <w:b w:val="false"/>
          <w:color w:val="000000"/>
          <w:sz w:val="10"/>
        </w:rPr>
        <w:t xml:space="preserve">(2) </w:t>
      </w:r>
      <w:r>
        <w:rPr>
          <w:rFonts w:ascii="Arial;sans-serif" w:hAnsi="Arial;sans-serif"/>
          <w:b w:val="false"/>
          <w:color w:val="000000"/>
          <w:sz w:val="16"/>
        </w:rPr>
        <w:t>Includes the following items for the six months ended June 30, 2025: (i) net income of $10,576, (ii) interest expense of $6,352, (iii) depreciation and amortization expense of $2,185, (iv) acquisition and transaction expenses of $201, (v) changes in fair value of non-hedge derivative instruments of $(12,822), (vi) equity method basis adjustments of $10 and (vii) other non-recurring items of $1.</w:t>
      </w:r>
    </w:p>
    <w:p>
      <w:pPr>
        <w:pStyle w:val="TextBody"/>
        <w:bidi w:val="0"/>
        <w:spacing w:lineRule="auto" w:line="288" w:before="120" w:after="283"/>
        <w:ind w:left="0" w:right="0" w:hanging="180"/>
        <w:jc w:val="both"/>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Includes the following items for the three months ended June 30, 2026: (i) equity-based compensation expense of $30, (ii) interest expense of $212, (iii) depreciation and amortization expense of $41, (iv) acquisition and transaction expenses of $18, (v) changes in fair value of non-hedge derivative instruments of $3 and (vi) losses on the modification or extinguishment of debt of $5. Includes the following items for the six months ended June 30, 2026: (i) equity-based compensation expense of $43, (ii) interest expense of $406, (iii) depreciation and amortization expense of $91, (iv) acquisition and transaction expenses of $25, (v) changes in fair value of non-hedge derivative instruments of $(1) and (vi) losses on the modification or extinguishment of debt of $5.</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jc w:val="both"/>
        <w:rPr/>
      </w:pPr>
      <w:r>
        <w:rPr>
          <w:rFonts w:ascii="Arial;sans-serif" w:hAnsi="Arial;sans-serif"/>
          <w:b w:val="false"/>
          <w:color w:val="000000"/>
          <w:sz w:val="18"/>
        </w:rPr>
        <w:t>Total revenues increased $7.0 million and $51.8 million</w:t>
      </w:r>
      <w:r>
        <w:rPr>
          <w:color w:val="000000"/>
        </w:rPr>
        <w:t xml:space="preserve"> </w:t>
      </w:r>
      <w:r>
        <w:rPr>
          <w:rFonts w:ascii="Arial;sans-serif" w:hAnsi="Arial;sans-serif"/>
          <w:b w:val="false"/>
          <w:color w:val="000000"/>
          <w:sz w:val="18"/>
        </w:rPr>
        <w:t>during the three and six months ended June 30, 2026, respectively, primarily due to an increase in power plant revenue as well as an increase in gas revenues as a result of the acquisition of 100% of Long Ridge in February 2025.</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$60.2 million during the three months ended June 30, 2026, which primarily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asset impairment of $60.4 million primarily due to valuation allowance on assets held for sale for Long Ridge Energy &amp; Power LLC;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operating expenses of $8.9 million primarily related to increased Ohio GasCo LLC and Long Ridge West Virginia LLC well operations; partially offset by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decrease in depreciation and amortization expense of $9.9 million due to assets being held for sale.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$91.7 million during the six months ended June 30, 2026, which primarily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asset impairment of $60.4 million primarily due to a valuation allowance on assets held for sale for Long Ridge Energy &amp; Power LLC;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32740"/>
                <wp:effectExtent l="0" t="0" r="0" b="0"/>
                <wp:wrapNone/>
                <wp:docPr id="58" name="Frame5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operating expenses of $30.4 million, primarily related to increased Ohio GasCo LLC and Long Ridge West Virginia LLC well operations, increased legal expenses and full inclusion of operating expenses after the acquisition of 100% of Long Ridge in February 2025.</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income (expense)</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Total other expense increased $0.9 million during the three months ended June 30, 2026, which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interest expense of $0.2 million related to interest expense on higher debt balances;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loss on modification or extinguishment of debt of $0.5 million related to accelerated Long Ridge Acquiom Loan financing fees.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expense increased $146.9 million during the six months ended June 30, 2026, which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interest expense of $14.9 million related to interest expense on the Long Ridge debt that is now consolidated;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decrease in gain on sale of assets, net of $120.5 million due to a gain recognized in the prior year on the acquisition of 100% of Long Ridge in February 2025;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decrease in equity in earnings of unconsolidated entities of $10.6 million primarily due to the equity pickup of Long Ridge Energy &amp; Power LLC net earnings in the prior year that were not recognized in the current quarter since 100% of Long Ridge Energy &amp; Power LLC was acquired in February 2025, and therefore no equity pickup was recorded after the acquisition.</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Benefit from income taxes</w:t>
      </w:r>
    </w:p>
    <w:p>
      <w:pPr>
        <w:pStyle w:val="TextBody"/>
        <w:bidi w:val="0"/>
        <w:spacing w:lineRule="auto" w:line="288" w:before="120" w:after="283"/>
        <w:jc w:val="both"/>
        <w:rPr/>
      </w:pPr>
      <w:r>
        <w:rPr>
          <w:rFonts w:ascii="Arial;sans-serif" w:hAnsi="Arial;sans-serif"/>
          <w:b w:val="false"/>
          <w:color w:val="000000"/>
          <w:sz w:val="18"/>
        </w:rPr>
        <w:t>Benefit from income taxes increased $15.0 million</w:t>
      </w:r>
      <w:r>
        <w:rPr>
          <w:color w:val="000000"/>
        </w:rPr>
        <w:t xml:space="preserve"> </w:t>
      </w:r>
      <w:r>
        <w:rPr>
          <w:rFonts w:ascii="Arial;sans-serif" w:hAnsi="Arial;sans-serif"/>
          <w:b w:val="false"/>
          <w:color w:val="000000"/>
          <w:sz w:val="18"/>
        </w:rPr>
        <w:t>during the three months ended June 30, 2026 primarily due to assets being classified as held for sale at Long Ridge Energy &amp; Power LLC in the current quarter. Benefit from income taxes decreased $27.5 million</w:t>
      </w:r>
      <w:r>
        <w:rPr>
          <w:color w:val="000000"/>
        </w:rPr>
        <w:t xml:space="preserve"> </w:t>
      </w:r>
      <w:r>
        <w:rPr>
          <w:rFonts w:ascii="Arial;sans-serif" w:hAnsi="Arial;sans-serif"/>
          <w:b w:val="false"/>
          <w:color w:val="000000"/>
          <w:sz w:val="18"/>
        </w:rPr>
        <w:t>during the six months ended June 30, 2026 primarily due to the partial release of the valuation allowance in connection with the acquisition of Long Ridge Energy &amp; Power LLC in February 2025, offset by assets being classified as held for sale at Long Ridge Energy &amp; Power LLC in the current quarter.</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Adjusted EBITDA increased $4.5 million and decreased $107.2 million during the three and six months ended June 30, 2026, respectively, primarily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18"/>
        </w:rPr>
      </w:pPr>
      <w:r>
        <w:rPr>
          <w:rFonts w:ascii="Arial;sans-serif" w:hAnsi="Arial;sans-serif"/>
          <w:b/>
          <w:color w:val="00497F"/>
          <w:sz w:val="18"/>
        </w:rPr>
        <w:t>Sustainability and Energy Transition Segment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Layout w:type="fixed"/>
        <w:tblCellMar>
          <w:top w:w="28" w:type="dxa"/>
          <w:left w:w="28" w:type="dxa"/>
          <w:bottom w:w="28" w:type="dxa"/>
          <w:right w:w="28" w:type="dxa"/>
        </w:tblCellMar>
      </w:tblPr>
      <w:tblGrid>
        <w:gridCol w:w="1189"/>
        <w:gridCol w:w="973"/>
        <w:gridCol w:w="976"/>
        <w:gridCol w:w="229"/>
        <w:gridCol w:w="510"/>
        <w:gridCol w:w="127"/>
        <w:gridCol w:w="127"/>
        <w:gridCol w:w="127"/>
        <w:gridCol w:w="127"/>
        <w:gridCol w:w="229"/>
        <w:gridCol w:w="724"/>
        <w:gridCol w:w="127"/>
        <w:gridCol w:w="109"/>
        <w:gridCol w:w="109"/>
        <w:gridCol w:w="109"/>
        <w:gridCol w:w="196"/>
        <w:gridCol w:w="556"/>
        <w:gridCol w:w="109"/>
        <w:gridCol w:w="109"/>
        <w:gridCol w:w="109"/>
        <w:gridCol w:w="109"/>
        <w:gridCol w:w="196"/>
        <w:gridCol w:w="436"/>
        <w:gridCol w:w="109"/>
        <w:gridCol w:w="109"/>
        <w:gridCol w:w="109"/>
        <w:gridCol w:w="109"/>
        <w:gridCol w:w="196"/>
        <w:gridCol w:w="616"/>
        <w:gridCol w:w="109"/>
        <w:gridCol w:w="109"/>
        <w:gridCol w:w="109"/>
        <w:gridCol w:w="109"/>
        <w:gridCol w:w="196"/>
        <w:gridCol w:w="556"/>
        <w:gridCol w:w="157"/>
      </w:tblGrid>
      <w:tr>
        <w:trPr/>
        <w:tc>
          <w:tcPr>
            <w:tcW w:w="118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839</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expense</w:t>
            </w:r>
          </w:p>
        </w:tc>
        <w:tc>
          <w:tcPr>
            <w:tcW w:w="7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common stockholders</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w:t>
            </w:r>
            <w:r>
              <w:rPr>
                <w:color w:val="000000"/>
              </w:rPr>
              <w:t>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6,437 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32740"/>
                <wp:effectExtent l="0" t="0" r="0" b="0"/>
                <wp:wrapNone/>
                <wp:docPr id="59" name="Frame5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sets forth a reconciliation of net loss attributable to common stockholders to Adjusted EBITDA:</w:t>
      </w:r>
    </w:p>
    <w:tbl>
      <w:tblPr>
        <w:tblW w:w="10205" w:type="dxa"/>
        <w:jc w:val="left"/>
        <w:tblInd w:w="0" w:type="dxa"/>
        <w:tblLayout w:type="fixed"/>
        <w:tblCellMar>
          <w:top w:w="28" w:type="dxa"/>
          <w:left w:w="28" w:type="dxa"/>
          <w:bottom w:w="28" w:type="dxa"/>
          <w:right w:w="28" w:type="dxa"/>
        </w:tblCellMar>
      </w:tblPr>
      <w:tblGrid>
        <w:gridCol w:w="1234"/>
        <w:gridCol w:w="1051"/>
        <w:gridCol w:w="1048"/>
        <w:gridCol w:w="214"/>
        <w:gridCol w:w="476"/>
        <w:gridCol w:w="118"/>
        <w:gridCol w:w="118"/>
        <w:gridCol w:w="118"/>
        <w:gridCol w:w="118"/>
        <w:gridCol w:w="214"/>
        <w:gridCol w:w="654"/>
        <w:gridCol w:w="118"/>
        <w:gridCol w:w="109"/>
        <w:gridCol w:w="109"/>
        <w:gridCol w:w="109"/>
        <w:gridCol w:w="196"/>
        <w:gridCol w:w="556"/>
        <w:gridCol w:w="109"/>
        <w:gridCol w:w="109"/>
        <w:gridCol w:w="109"/>
        <w:gridCol w:w="109"/>
        <w:gridCol w:w="196"/>
        <w:gridCol w:w="436"/>
        <w:gridCol w:w="109"/>
        <w:gridCol w:w="109"/>
        <w:gridCol w:w="109"/>
        <w:gridCol w:w="109"/>
        <w:gridCol w:w="196"/>
        <w:gridCol w:w="595"/>
        <w:gridCol w:w="109"/>
        <w:gridCol w:w="109"/>
        <w:gridCol w:w="109"/>
        <w:gridCol w:w="109"/>
        <w:gridCol w:w="196"/>
        <w:gridCol w:w="556"/>
        <w:gridCol w:w="162"/>
      </w:tblGrid>
      <w:tr>
        <w:trPr/>
        <w:tc>
          <w:tcPr>
            <w:tcW w:w="12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common stockholders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Depreciation and amortization expense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Add: Pro-rata share of Adjusted EBITDA from unconsolidated entities</w:t>
            </w:r>
            <w:r>
              <w:rPr>
                <w:rFonts w:ascii="Arial;sans-serif" w:hAnsi="Arial;sans-serif"/>
                <w:b w:val="false"/>
                <w:color w:val="000000"/>
                <w:sz w:val="10"/>
              </w:rPr>
              <w:t>(1)</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Dividends and accretion of redeemable and convertible preferred stock</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and other costs on pension and OPEB liabilities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Other non-recurring items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losses of unconsolidated entities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Non-controlling share of Adjusted EBITDA</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w:t>
            </w:r>
            <w:r>
              <w:rPr>
                <w:color w:val="000000"/>
              </w:rPr>
              <w:t>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the following items for the three months ended June 30, 2026 and 2025: net loss of $(560) and $(100), respectively</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16"/>
        </w:rPr>
        <w:t xml:space="preserve">Includes the following items for the six months ended June 30, 2026 and 2025: (i) net loss of $(1,078) and $(4,048), (ii) interest expense of $— and $1,284 and (iii) depreciation and amortization expense of $— and $699, respectively.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(expense) income</w:t>
      </w:r>
    </w:p>
    <w:p>
      <w:pPr>
        <w:pStyle w:val="TextBody"/>
        <w:bidi w:val="0"/>
        <w:spacing w:lineRule="auto" w:line="288" w:before="120" w:after="283"/>
        <w:jc w:val="both"/>
        <w:rPr/>
      </w:pPr>
      <w:r>
        <w:rPr>
          <w:rFonts w:ascii="Arial;sans-serif" w:hAnsi="Arial;sans-serif"/>
          <w:b w:val="false"/>
          <w:color w:val="000000"/>
          <w:sz w:val="18"/>
        </w:rPr>
        <w:t>Total other expense decreased $1.3 million and $6.6 million</w:t>
      </w:r>
      <w:r>
        <w:rPr>
          <w:color w:val="000000"/>
        </w:rPr>
        <w:t xml:space="preserve"> </w:t>
      </w:r>
      <w:r>
        <w:rPr>
          <w:rFonts w:ascii="Arial;sans-serif" w:hAnsi="Arial;sans-serif"/>
          <w:b w:val="false"/>
          <w:color w:val="000000"/>
          <w:sz w:val="18"/>
        </w:rPr>
        <w:t>during the three and six months ended June 30, 2026, respectively, which reflects changes in equity in losses of unconsolidated entities primarily due to lower operating losses at GM-FTAI Holdco LLC.</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Adjusted EBITDA decreased $0.5 million and increased $1.3 million during the three and six months ended June 30, 2026, respectively, primarily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32740"/>
                <wp:effectExtent l="0" t="0" r="0" b="0"/>
                <wp:wrapNone/>
                <wp:docPr id="60" name="Frame5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497F"/>
          <w:sz w:val="18"/>
        </w:rPr>
      </w:pPr>
      <w:r>
        <w:rPr>
          <w:rFonts w:ascii="Arial;sans-serif" w:hAnsi="Arial;sans-serif"/>
          <w:b/>
          <w:color w:val="00497F"/>
          <w:sz w:val="18"/>
        </w:rPr>
        <w:t>Corporate and Other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Layout w:type="fixed"/>
        <w:tblCellMar>
          <w:top w:w="28" w:type="dxa"/>
          <w:left w:w="28" w:type="dxa"/>
          <w:bottom w:w="28" w:type="dxa"/>
          <w:right w:w="28" w:type="dxa"/>
        </w:tblCellMar>
      </w:tblPr>
      <w:tblGrid>
        <w:gridCol w:w="1291"/>
        <w:gridCol w:w="961"/>
        <w:gridCol w:w="966"/>
        <w:gridCol w:w="242"/>
        <w:gridCol w:w="501"/>
        <w:gridCol w:w="125"/>
        <w:gridCol w:w="125"/>
        <w:gridCol w:w="125"/>
        <w:gridCol w:w="125"/>
        <w:gridCol w:w="251"/>
        <w:gridCol w:w="484"/>
        <w:gridCol w:w="125"/>
        <w:gridCol w:w="109"/>
        <w:gridCol w:w="109"/>
        <w:gridCol w:w="109"/>
        <w:gridCol w:w="247"/>
        <w:gridCol w:w="437"/>
        <w:gridCol w:w="121"/>
        <w:gridCol w:w="109"/>
        <w:gridCol w:w="109"/>
        <w:gridCol w:w="109"/>
        <w:gridCol w:w="238"/>
        <w:gridCol w:w="536"/>
        <w:gridCol w:w="109"/>
        <w:gridCol w:w="109"/>
        <w:gridCol w:w="109"/>
        <w:gridCol w:w="109"/>
        <w:gridCol w:w="196"/>
        <w:gridCol w:w="646"/>
        <w:gridCol w:w="109"/>
        <w:gridCol w:w="109"/>
        <w:gridCol w:w="109"/>
        <w:gridCol w:w="109"/>
        <w:gridCol w:w="202"/>
        <w:gridCol w:w="573"/>
        <w:gridCol w:w="162"/>
      </w:tblGrid>
      <w:tr>
        <w:trPr/>
        <w:tc>
          <w:tcPr>
            <w:tcW w:w="12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Rail revenues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Roadside services revenues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15,497</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7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15,917</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13,730 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28,741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15,957</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29,693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3,674</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1,170</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3,677</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2,808</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7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27,524</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24,044 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53,575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earnings of unconsolidated entities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modification or extinguishment of debt</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(63,515)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(102,651)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expense</w:t>
            </w:r>
          </w:p>
        </w:tc>
        <w:tc>
          <w:tcPr>
            <w:tcW w:w="7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(64,489)</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(18,308)</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(46,181)</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(144,200)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(110,128)</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before income taxes</w:t>
            </w:r>
          </w:p>
        </w:tc>
        <w:tc>
          <w:tcPr>
            <w:tcW w:w="7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(76,096)</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(28,622)</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(47,474)</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(169,034)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(114,796)</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from) provision for income taxes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7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(76,096)</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(28,445)</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(47,651)</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(169,047)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(115,290)</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attributable to non-controlling interest in consolidated subsidiaries</w:t>
            </w:r>
          </w:p>
        </w:tc>
        <w:tc>
          <w:tcPr>
            <w:tcW w:w="7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and accretion of redeemable preferred stock</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Convertible preferred stock dividend</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4,511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common stockholders</w:t>
            </w:r>
          </w:p>
        </w:tc>
        <w:tc>
          <w:tcPr>
            <w:tcW w:w="74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(81,319)</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(53,484)</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(27,835)</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(178,641)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(76,537)</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32740"/>
                <wp:effectExtent l="0" t="0" r="0" b="0"/>
                <wp:wrapNone/>
                <wp:docPr id="61" name="Frame6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loss attributable to common stockholders to Adjusted EBITDA:</w:t>
      </w:r>
    </w:p>
    <w:tbl>
      <w:tblPr>
        <w:tblW w:w="10205" w:type="dxa"/>
        <w:jc w:val="left"/>
        <w:tblInd w:w="0" w:type="dxa"/>
        <w:tblLayout w:type="fixed"/>
        <w:tblCellMar>
          <w:top w:w="28" w:type="dxa"/>
          <w:left w:w="28" w:type="dxa"/>
          <w:bottom w:w="28" w:type="dxa"/>
          <w:right w:w="28" w:type="dxa"/>
        </w:tblCellMar>
      </w:tblPr>
      <w:tblGrid>
        <w:gridCol w:w="919"/>
        <w:gridCol w:w="766"/>
        <w:gridCol w:w="759"/>
        <w:gridCol w:w="197"/>
        <w:gridCol w:w="681"/>
        <w:gridCol w:w="109"/>
        <w:gridCol w:w="109"/>
        <w:gridCol w:w="109"/>
        <w:gridCol w:w="109"/>
        <w:gridCol w:w="197"/>
        <w:gridCol w:w="681"/>
        <w:gridCol w:w="109"/>
        <w:gridCol w:w="109"/>
        <w:gridCol w:w="109"/>
        <w:gridCol w:w="109"/>
        <w:gridCol w:w="196"/>
        <w:gridCol w:w="675"/>
        <w:gridCol w:w="109"/>
        <w:gridCol w:w="109"/>
        <w:gridCol w:w="109"/>
        <w:gridCol w:w="109"/>
        <w:gridCol w:w="196"/>
        <w:gridCol w:w="765"/>
        <w:gridCol w:w="109"/>
        <w:gridCol w:w="109"/>
        <w:gridCol w:w="109"/>
        <w:gridCol w:w="109"/>
        <w:gridCol w:w="196"/>
        <w:gridCol w:w="765"/>
        <w:gridCol w:w="109"/>
        <w:gridCol w:w="109"/>
        <w:gridCol w:w="109"/>
        <w:gridCol w:w="109"/>
        <w:gridCol w:w="196"/>
        <w:gridCol w:w="675"/>
        <w:gridCol w:w="161"/>
      </w:tblGrid>
      <w:tr>
        <w:trPr/>
        <w:tc>
          <w:tcPr>
            <w:tcW w:w="9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common stockholders</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(81,319)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(178,641)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(76,537)</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(Benefit from) provision for income taxes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40,538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Depreciation and amortization expense</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63,515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102,651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Add: Pro-rata share of Adjusted EBITDA from unconsolidated entities</w:t>
            </w:r>
            <w:r>
              <w:rPr>
                <w:color w:val="000000"/>
              </w:rPr>
              <w:t xml:space="preserve"> </w:t>
            </w:r>
            <w:r>
              <w:rPr>
                <w:rFonts w:ascii="Arial;sans-serif" w:hAnsi="Arial;sans-serif"/>
                <w:b w:val="false"/>
                <w:color w:val="000000"/>
                <w:sz w:val="10"/>
              </w:rPr>
              <w:t>(1)</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Dividends and accretion of redeemable and convertible preferred stock </w:t>
            </w:r>
            <w:r>
              <w:rPr>
                <w:rFonts w:ascii="Arial;sans-serif" w:hAnsi="Arial;sans-serif"/>
                <w:b w:val="false"/>
                <w:color w:val="000000"/>
                <w:sz w:val="10"/>
              </w:rPr>
              <w:t>(2)</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and other costs on pension and OPEB liabilities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Other non-recurring items </w:t>
            </w:r>
            <w:r>
              <w:rPr>
                <w:rFonts w:ascii="Arial;sans-serif" w:hAnsi="Arial;sans-serif"/>
                <w:b w:val="false"/>
                <w:color w:val="000000"/>
                <w:sz w:val="10"/>
              </w:rPr>
              <w:t>(3)</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earnings of unconsolidated entities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Less: Non-controlling share of Adjusted EBITDA </w:t>
            </w:r>
            <w:r>
              <w:rPr>
                <w:rFonts w:ascii="Arial;sans-serif" w:hAnsi="Arial;sans-serif"/>
                <w:b w:val="false"/>
                <w:color w:val="000000"/>
                <w:sz w:val="10"/>
              </w:rPr>
              <w:t>(4)</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(15,582)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the following items for the six months ended June 30, 2025: (i) net loss of $(50) and (ii) interest expense of $12.</w:t>
      </w:r>
    </w:p>
    <w:p>
      <w:pPr>
        <w:pStyle w:val="TextBody"/>
        <w:bidi w:val="0"/>
        <w:spacing w:lineRule="auto" w:line="288" w:before="120" w:after="283"/>
        <w:ind w:left="0" w:right="0" w:hanging="180"/>
        <w:jc w:val="both"/>
        <w:rPr/>
      </w:pPr>
      <w:r>
        <w:rPr>
          <w:rFonts w:ascii="Arial;sans-serif" w:hAnsi="Arial;sans-serif"/>
          <w:b w:val="false"/>
          <w:color w:val="000000"/>
          <w:sz w:val="10"/>
        </w:rPr>
        <w:t xml:space="preserve">(2) </w:t>
      </w:r>
      <w:r>
        <w:rPr>
          <w:rFonts w:ascii="Arial;sans-serif" w:hAnsi="Arial;sans-serif"/>
          <w:b w:val="false"/>
          <w:color w:val="000000"/>
          <w:sz w:val="16"/>
        </w:rPr>
        <w:t>Includes the following items for the three months ended June 30, 2026 and 2025: (i) dividends and accretion of redeemable preferred stock of $657 and $20,957 and (ii) dividends of convertible preferred stock of $4,511 and $4,082, respectively. Includes the following items for the six months ended June 30, 2026 and 2025: (i) dividends and accretion of redeemable preferred stock of $657 and $42,798 and (ii) dividends of convertible preferred stock of $8,864 and $5,549, respectively.</w:t>
      </w:r>
    </w:p>
    <w:p>
      <w:pPr>
        <w:pStyle w:val="TextBody"/>
        <w:bidi w:val="0"/>
        <w:spacing w:lineRule="auto" w:line="288" w:before="120" w:after="283"/>
        <w:ind w:left="0" w:right="0" w:hanging="180"/>
        <w:jc w:val="both"/>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Includes the following items for the six months ended June 30, 2026: Unrealized loss on investment of $1,190.</w:t>
      </w:r>
    </w:p>
    <w:p>
      <w:pPr>
        <w:pStyle w:val="TextBody"/>
        <w:bidi w:val="0"/>
        <w:spacing w:lineRule="auto" w:line="288" w:before="120" w:after="283"/>
        <w:ind w:left="0" w:right="0" w:hanging="180"/>
        <w:jc w:val="both"/>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Includes the following items for the three months ended June 30, 2026: (i) equity-based compensation expense of $5 and (ii) depreciation and amortization expense of $8. Includes the following items for the six months ended June 30, 2026: (i) equity-based compensation expense of $10, (ii) provision for income taxes of $1 and (iii) depreciation and amortization expense of $16.</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revenues increased $2.2 million and $2.0 million during the three and six months ended June 30, 2026, respectively, primarily due to an increase in roadside services at FYX.</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$3.5 million during the three months ended June 30, 2026, which primarily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operating expenses of $2.1 million primarily due to an increase in roadside services at FYX;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asset impairment of $2.8 million due to the impairment of assets at KRS which was classified as held for sale during the current quarter prior to being sold on June 30, 2026; partially offset by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decrease in acquisition and transaction expenses of $1.3 million primarily due to higher professional fees for a potential acquisition incurred in the second quarter of prior year.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$6.7 million during the six months ended June 30, 2026, which primarily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operating expenses of $2.8 million primarily due to an increase in roadside services at FYX;</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asset impairment of $2.8 million due to the impairment of assets at KRS which was classified as held for sale during the current quarter prior to being sold on June 30, 2026;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 increase in acquisition and transaction expenses of $1.1 million primarily due to costs incurred with debt refinancing activities and professional fees related to the Wheeling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32740"/>
                <wp:effectExtent l="0" t="0" r="0" b="0"/>
                <wp:wrapNone/>
                <wp:docPr id="62" name="Frame6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income (expense)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expense increased $46.2 million during the three months ended June 30, 2026, primarily due to (i) an increase in loss on modification of debt driven by legal fees incurred in connection with the upsize of the Term Loan and (ii) an increase in interest expense due to additional borrowings under the Term Loan Credit Agreement during the current quarter.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expense increased $110.1 million during the six months ended June 30, 2026, primarily due to (i) an increase in loss on modification or extinguishment debt due to the paydown of the Bridge Loan Credit Agreement and legal fees incurred in connection with the upsize of the Term Loan and (ii) an increase in interest expense due to additional borrowings under the Term Loan Credit Agreement during the current quarter.</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pPr>
      <w:r>
        <w:rPr>
          <w:rFonts w:ascii="Arial;sans-serif" w:hAnsi="Arial;sans-serif"/>
          <w:b w:val="false"/>
          <w:color w:val="000000"/>
          <w:sz w:val="18"/>
        </w:rPr>
        <w:t>Adjusted EBITDA increased $0.4 million and decreased $0.4 million</w:t>
      </w:r>
      <w:r>
        <w:rPr>
          <w:color w:val="000000"/>
        </w:rPr>
        <w:t xml:space="preserve"> </w:t>
      </w:r>
      <w:r>
        <w:rPr>
          <w:rFonts w:ascii="Arial;sans-serif" w:hAnsi="Arial;sans-serif"/>
          <w:b w:val="false"/>
          <w:color w:val="000000"/>
          <w:sz w:val="18"/>
        </w:rPr>
        <w:t>during the three and six months ended June 30, 2026, respectively, primarily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Liquidity and Capital Resources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believe we have sufficient liquidity to satisfy our cash needs; however, we continue to evaluate and take action, as necessary, to preserve adequate liquidity and ensure that our business can continue to operate during these uncertain times. This includes limiting discretionary spending across the organization and re-prioritizing our capital projects.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Subsequent to the second quarter of 2026, we have paid down the Jefferson Taxable Series 2024B Bonds with the Jefferson Bridge Loan Credit Agreement (see Note 18 for additional details), which will mature on June 30, 2027. The expected closing of the sale of Long Ridge will further improve the Company’s liquidity position and reduce our total debt (see Note 2 for additional details). The Company has significant remaining debt obligations, which it continues to actively manage. Sources of liquidity on hand and cash flows from operations are not expected to be sufficient to satisfy the Bridge Credit Agreement as it matures. However, management’s planned actions, including the sale of Long Ridge and refinancing the Jefferson Bridge Loan Credit Agreement, are considered probable to be implemented and to provide sufficient liquidity for the Company to meet its obligations as they become due over the twelve months from the date the financial statements were issued. In assessing whether it was probable the Company will refinance its credit facilities on or prior to their respective maturity dates, the Company performed a comprehensive assessment including factors such as: current debt market conditions; the Company’s credit worthiness based upon current and expected financial performance and leverage levels; comparable lending transactions; the Company’s historical ability to obtain financing; discussions with the Company’s existing lenders; and continuing favorable lending relationships. There can be no assurance that financing will be obtained at terms more favorable than the existing Jefferson Bridge Loan Credit Agreement.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principal uses of liquidity have been and continue to be (i) acquisitions of and investments in infrastructure assets, (ii) expenses associated with our operating activities and (iii) debt service obligations associated with our investments.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Cash used for investing activities was $178.2 million and cash provided by investing activities was $78.4 million during the six months ended June 30, 2026 and 2025, respectively.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Uses of liquidity associated with our operating and interest expenses are captured on a net basis in our cash flows from operating activities. Uses of liquidity associated with our debt obligations are captured in our cash flows from financing activities.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principal sources of liquidity to fund these uses have been and continue to be (i) cash and restricted cash on hand as of June 30, 2026, (ii) revenues from our infrastructure business net of operating expenses, (iii) proceeds from borrowings and (iv) opportunistic sales of assets or investments.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Cash flows used in operating activities were $30.3 million and $90.9 million during the six months ended June 30, 2026 and 2025, respectively.</w:t>
      </w:r>
    </w:p>
    <w:p>
      <w:pPr>
        <w:pStyle w:val="TextBody"/>
        <w:bidi w:val="0"/>
        <w:spacing w:lineRule="auto" w:line="288" w:before="120" w:after="283"/>
        <w:ind w:left="0" w:right="0" w:hanging="360"/>
        <w:jc w:val="both"/>
        <w:rPr/>
      </w:pPr>
      <w:r>
        <w:rPr>
          <w:color w:val="00497F"/>
        </w:rPr>
        <w:t>•</w:t>
      </w:r>
      <w:r>
        <w:rPr>
          <w:rFonts w:ascii="Arial;sans-serif" w:hAnsi="Arial;sans-serif"/>
          <w:b w:val="false"/>
          <w:color w:val="000000"/>
          <w:sz w:val="18"/>
        </w:rPr>
        <w:t>During the six months ended June 30, 2026, additional borrowings were obtained in connection with (i) the Term Loan Credit Agreement of $1.41 billion, (ii) the Long Ridge Acquiom Loan of $19.5 million and (iii) a railcar financing of $50.0 million. In February 2026, we used a portion of the net proceeds from the Term Loan Credit Agreement to repay the Bridge Loan Credit Agreement of $1.25 million. In March 2026, we also used a portion of the net proceeds from the Term Loan Credit Agreement to repay the June 2025 Jefferson Credit Agreement of $30.0 million.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currently evaluating several potential transactions and related financings, including, but not limited to, providing for increased debt capacity at certain of our subsidiaries, which could occur within the next 12 months. None of these transactions, negotiations or financings are definitive or included within our planned liquidity needs. We cannot assure if or when any such transaction will be consummated or the terms of any such transaction. In addition, from time to time, we may seek to repay, refinance or restructure all or a portion of our debt or to repurchase or repay our outstanding debt through, as applicable, tender offers, exchange offers, open market purchases, privately negotiated transactions or otherwise. Such transactions, if any, will depend on a number of factors, including prevailing market conditions, our liquidity requirements and contractual requirements (including compliance with the terms of our debt agreements), among other factors. Our restricted cash and cash equivalents are available to finance construction projects, as well as meet debt service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32740"/>
                <wp:effectExtent l="0" t="0" r="0" b="0"/>
                <wp:wrapNone/>
                <wp:docPr id="63" name="Frame6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Historical Cash Flow</w:t>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Comparison of the six months ended June 30, 2026 and 2025</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compares the historical cash flow for the six months ended June 30, 2026 and 2025:</w:t>
      </w:r>
    </w:p>
    <w:tbl>
      <w:tblPr>
        <w:tblW w:w="6159" w:type="dxa"/>
        <w:jc w:val="left"/>
        <w:tblInd w:w="0" w:type="dxa"/>
        <w:tblLayout w:type="fixed"/>
        <w:tblCellMar>
          <w:top w:w="28" w:type="dxa"/>
          <w:left w:w="28" w:type="dxa"/>
          <w:bottom w:w="28" w:type="dxa"/>
          <w:right w:w="28" w:type="dxa"/>
        </w:tblCellMar>
      </w:tblPr>
      <w:tblGrid>
        <w:gridCol w:w="1354"/>
        <w:gridCol w:w="1188"/>
        <w:gridCol w:w="1193"/>
        <w:gridCol w:w="196"/>
        <w:gridCol w:w="721"/>
        <w:gridCol w:w="109"/>
        <w:gridCol w:w="109"/>
        <w:gridCol w:w="109"/>
        <w:gridCol w:w="109"/>
        <w:gridCol w:w="196"/>
        <w:gridCol w:w="721"/>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 Data:</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investing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(178,163)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cash used in operating activities decreased $60.5 million, which primarily reflects certain adjustments to reconcile net loss to cash used in operating activities including (i) an increase in equity in earnings of unconsolidated entities of $4.4 million, (ii) changes in working capital of $36.7 million, (iii) a decrease in gain on sale of subsidiaries of $120.0 million, (iv) changes in deferred income taxes of $30.3 million, (v) an increase in depreciation and amortization of $31.2 million, (vi) an increase in loss on modification or extinguishment of debt of $43.4 million, (vii) an increase in amortization of bond discount of $37.4 million, (viii) an increase in amortization of deferred financing costs of $2.0 million, (ix) an increase in equity-based compensation of $14.3 million, (x) an increase in asset impairment of $58.8 million and (xi) an increase in paid-in-kind interest expense of $5.1 million, partially offset by (i) an increase in amortization of other comprehensive income of $5.8 million and (ii) an increase in net loss of $316.9 million.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cash used in investing activities increased $256.5 million, primarily due to (i) a decrease in the acquisition of business of $267.0 million, (ii) a decrease in proceeds from investor loan of $11.0 million, (iii) an increase in the investment in unconsolidated entities of $1.8 million and (iv) an increase in purchase deposits for acquisitions of $3.4 million, partially offset by (i) an increase in proceeds from the sale of property, plant and equipment of $6.8 million and (ii) a decrease in the acquisition of property, plant and equipment of $19.3 million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cash provided by financing activities decreased $226.3 million, primarily due to (i) an increase in repayment of debt of $1.2 billion, (ii) an increase in cash dividends paid for redeemable preferred stock - NCI of $5.0 million, (iii) an increase in settlement of equity-based compensation of $2.4 million and (iv) an increase in distributions to non-controlling interests of $1.2 million, partially offset by (i) an increase in proceeds from debt of $913.3 million, (ii) an increase in proceeds from financing obligation of $50.0 million, (iii) a decrease in the payment of cash dividends on redeemable preferred stock of $25.5 million and (iv) a decrease in payment of financing costs of $5.7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18"/>
        </w:rPr>
      </w:pPr>
      <w:r>
        <w:rPr>
          <w:rFonts w:ascii="Arial;sans-serif" w:hAnsi="Arial;sans-serif"/>
          <w:b/>
          <w:color w:val="00497F"/>
          <w:sz w:val="18"/>
        </w:rPr>
        <w:t xml:space="preserve">Debt Obligations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Refer to Note 7 of the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18"/>
        </w:rPr>
      </w:pPr>
      <w:r>
        <w:rPr>
          <w:rFonts w:ascii="Arial;sans-serif" w:hAnsi="Arial;sans-serif"/>
          <w:b/>
          <w:color w:val="00497F"/>
          <w:sz w:val="18"/>
        </w:rPr>
        <w:t>Contractual Obligations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material cash requirements include the following contractual and other obligations:</w:t>
      </w:r>
    </w:p>
    <w:p>
      <w:pPr>
        <w:pStyle w:val="TextBody"/>
        <w:bidi w:val="0"/>
        <w:spacing w:lineRule="auto" w:line="288" w:before="120" w:after="283"/>
        <w:jc w:val="both"/>
        <w:rPr/>
      </w:pPr>
      <w:r>
        <w:rPr>
          <w:rFonts w:ascii="Arial;sans-serif" w:hAnsi="Arial;sans-serif"/>
          <w:b/>
          <w:i/>
          <w:color w:val="00497F"/>
          <w:sz w:val="18"/>
        </w:rPr>
        <w:t>Debt Obligations</w:t>
      </w:r>
      <w:r>
        <w:rPr>
          <w:color w:val="00497F"/>
        </w:rPr>
        <w:t>—</w:t>
      </w:r>
      <w:r>
        <w:rPr>
          <w:rFonts w:ascii="Arial;sans-serif" w:hAnsi="Arial;sans-serif"/>
          <w:b w:val="false"/>
          <w:color w:val="000000"/>
          <w:sz w:val="18"/>
        </w:rPr>
        <w:t>As of June 30, 2026, we had outstanding principal and interest payment obligations of $2.8 billion and $812.1 million, respectively, of which, there are $477.7 million of principal payments due and $222.5 million of interest payments due within the next twelve months. As of June 30, 2026, debt instruments related to the Power and Gas segment were classified as liabilities held for sale on the Consolidated Balance Sheet (refer to Note 2 for additional details) and, therefore, have been excluded from the above principal and interest obligations. As of June 30, 2026, we had no unused borrowing capacity. See Note 7 to the consolidated financial statements for additional information about our debt obligations.</w:t>
      </w:r>
    </w:p>
    <w:p>
      <w:pPr>
        <w:pStyle w:val="TextBody"/>
        <w:bidi w:val="0"/>
        <w:spacing w:lineRule="auto" w:line="288" w:before="120" w:after="283"/>
        <w:jc w:val="both"/>
        <w:rPr/>
      </w:pPr>
      <w:r>
        <w:rPr>
          <w:rFonts w:ascii="Arial;sans-serif" w:hAnsi="Arial;sans-serif"/>
          <w:b/>
          <w:i/>
          <w:color w:val="00497F"/>
          <w:sz w:val="18"/>
        </w:rPr>
        <w:t>Lease Obligations</w:t>
      </w:r>
      <w:r>
        <w:rPr>
          <w:color w:val="000000"/>
        </w:rPr>
        <w:t>—</w:t>
      </w:r>
      <w:r>
        <w:rPr>
          <w:rFonts w:ascii="Arial;sans-serif" w:hAnsi="Arial;sans-serif"/>
          <w:b w:val="false"/>
          <w:color w:val="000000"/>
          <w:sz w:val="18"/>
        </w:rPr>
        <w:t>As of June 30, 2026, we had outstanding operating and finance lease obligations of $449.8 million, of which $22.9 million is due within the next twelve months.</w:t>
      </w:r>
    </w:p>
    <w:p>
      <w:pPr>
        <w:pStyle w:val="TextBody"/>
        <w:bidi w:val="0"/>
        <w:spacing w:lineRule="auto" w:line="288" w:before="120" w:after="283"/>
        <w:jc w:val="both"/>
        <w:rPr/>
      </w:pPr>
      <w:r>
        <w:rPr>
          <w:rFonts w:ascii="Arial;sans-serif" w:hAnsi="Arial;sans-serif"/>
          <w:b/>
          <w:i/>
          <w:color w:val="00497F"/>
          <w:sz w:val="18"/>
        </w:rPr>
        <w:t>Redeemable Preferred Stock Obligations</w:t>
      </w:r>
      <w:r>
        <w:rPr>
          <w:color w:val="000000"/>
        </w:rPr>
        <w:t>—</w:t>
      </w:r>
      <w:r>
        <w:rPr>
          <w:rFonts w:ascii="Arial;sans-serif" w:hAnsi="Arial;sans-serif"/>
          <w:b w:val="false"/>
          <w:color w:val="000000"/>
          <w:sz w:val="18"/>
        </w:rPr>
        <w:t>We have dividend payments of $138.9 million due on our redeemable preferred stock within the next twelve months with an option to paid-in-kind dividends at a higher interest rate and to defer payment. See Note 15 for additional information related to our preferred stock obligations.</w:t>
      </w:r>
    </w:p>
    <w:p>
      <w:pPr>
        <w:pStyle w:val="TextBody"/>
        <w:bidi w:val="0"/>
        <w:spacing w:lineRule="auto" w:line="288" w:before="120" w:after="283"/>
        <w:jc w:val="both"/>
        <w:rPr/>
      </w:pPr>
      <w:r>
        <w:rPr>
          <w:rFonts w:ascii="Arial;sans-serif" w:hAnsi="Arial;sans-serif"/>
          <w:b/>
          <w:i/>
          <w:color w:val="00497F"/>
          <w:sz w:val="18"/>
        </w:rPr>
        <w:t>Other Cash Requirements</w:t>
      </w:r>
      <w:r>
        <w:rPr>
          <w:color w:val="000000"/>
        </w:rPr>
        <w:t>—</w:t>
      </w:r>
      <w:r>
        <w:rPr>
          <w:rFonts w:ascii="Arial;sans-serif" w:hAnsi="Arial;sans-serif"/>
          <w:b w:val="false"/>
          <w:color w:val="000000"/>
          <w:sz w:val="18"/>
        </w:rPr>
        <w:t>In addition to our contractual obligations, we may pay quarterly cash dividends on our common stock, which are subject to change at the discretion of our board of directors.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 See Note 1 for additional information related to other cash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32740"/>
                <wp:effectExtent l="0" t="0" r="0" b="0"/>
                <wp:wrapNone/>
                <wp:docPr id="64" name="Frame6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color w:val="00497F"/>
          <w:sz w:val="18"/>
        </w:rPr>
      </w:pPr>
      <w:r>
        <w:rPr>
          <w:rFonts w:ascii="Arial;sans-serif" w:hAnsi="Arial;sans-serif"/>
          <w:b/>
          <w:color w:val="00497F"/>
          <w:sz w:val="18"/>
        </w:rPr>
        <w:t>Critical Accounting Estimates and Policies</w:t>
      </w:r>
    </w:p>
    <w:p>
      <w:pPr>
        <w:pStyle w:val="TextBody"/>
        <w:bidi w:val="0"/>
        <w:spacing w:lineRule="auto" w:line="288" w:before="120" w:after="283"/>
        <w:jc w:val="both"/>
        <w:rPr/>
      </w:pPr>
      <w:r>
        <w:rPr>
          <w:rFonts w:ascii="Arial;sans-serif" w:hAnsi="Arial;sans-serif"/>
          <w:b/>
          <w:i/>
          <w:color w:val="00497F"/>
          <w:sz w:val="18"/>
        </w:rPr>
        <w:t>Goodwill</w:t>
      </w:r>
      <w:r>
        <w:rPr>
          <w:color w:val="00497F"/>
        </w:rPr>
        <w:t>—</w:t>
      </w:r>
      <w:r>
        <w:rPr>
          <w:rFonts w:ascii="Arial;sans-serif" w:hAnsi="Arial;sans-serif"/>
          <w:b w:val="false"/>
          <w:color w:val="000000"/>
          <w:sz w:val="18"/>
        </w:rPr>
        <w:t>Goodwill includes the excess of the purchase price over the fair value of the net tangible and intangible assets associated with the acquisition of Jefferson Terminal, Transtar, FYX and Long Ridge Energy &amp; Power LLC. As of December 31, 2025, the carrying amount of goodwill within the Jefferson Terminal, Railroad, Corporate and Other and Power and Gas segments was $122.7 million, $147.2 million, $5.4 million and $90.3 million, respectively.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For an annual goodwill impairment assessment, an optional qualitative analysis may be performed. If the option is not elected or if it is more likely than not that the fair value of a reporting unit is less than its carrying amount, then a goodwill impairment test is performed to identify potential goodwill impairment and measure an impairment loss.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that the carrying value of the reporting unit exceeds the fair value.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October 1, 2025, for our Jefferson Terminal reporting unit, we completed a quantitative analysis. We estimate the fair value of Jefferson Terminal using an income approach, specifically a discounted cash flow analysis. This analysis requires us to make significant assumptions and estimates about the forecasted revenue growth rates, capital expenditures and discount rates. The estimates and assumptions used consider historical performance if indicative of future performance and are consistent with the assumptions used in determining future profit plans for the reporting units.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connection with our impairment analysis, although we believe the estimates of fair value are reasonable, the determination of certain valuation inputs is subject to management's judgment. The fair value estimate was sensitive to certain assumptions inherent in the discounted estimated cash flows, including forecasted revenue and revenue growth rates and discount rates. Changes in these inputs, including as a result of events beyond our control, could materially affect the results of the impairment review. If the forecasted cash flows or other key inputs are negatively revised in the future, the estimated fair value of the reporting unit could be adversely impacted, potentially leading to an impairment in the future that could materially affect our operating results. The Jefferson Terminal reporting unit had an estimated fair value that exceeded its carrying value by more than 20% as of October 1, 2025. The Jefferson Terminal reporting unit forecasted revenue is dependent on the ramp up of volumes under current and expected future contracts for storage and throughput of heavy and light crude and refined products, expansion of refined product distribution to Mexico, expansion of volumes and execution of contracts related to sustainable fuels and movements in future oil spreads. Our discount rate for our 2025 goodwill impairment analysis was 10% and our assumed terminal growth rate was 2.5%. If our strategy changes from planned capacity downward due to an inability to source contracts or expand volumes, the fair value of the reporting unit would be negatively affected, which could lead to an impairment. The expansion of refineries in the Beaumont/Port Arthur area, as well as growing crude oil and natural gas production in the U.S. and Canada, are expected to result in increased demand for storage on the U.S. Gulf Coast. Although we do not have significant direct exposure to volatility of crude oil prices, changes in crude oil pricing that affect long term refining planned output could impact Jefferson Terminal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expect the Jefferson Terminal reporting unit to continue to grow and generate positive Adjusted EBITDA in future years. Further delays in executing anticipated contracts or achieving our projected volumes could adversely affect the fair value of the reporting unit.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was no impairment of goodwill for the year ended December 31, 2025.</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Recent Accounting Pronouncements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Company has reviewed recently issued accounting pronouncements and concluded that such pronouncements are either not applicable to the Company or no material impact is expected in the consolidated financial statements as a result of future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6EBF"/>
          <w:sz w:val="20"/>
        </w:rPr>
      </w:pPr>
      <w:r>
        <w:rPr>
          <w:rFonts w:ascii="Arial;sans-serif" w:hAnsi="Arial;sans-serif"/>
          <w:b/>
          <w:color w:val="006EBF"/>
          <w:sz w:val="20"/>
        </w:rPr>
        <w:t>Item 3. Quantitative and Qualitative Disclosures About Market Risk</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Interest Rate Risk</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32740"/>
                <wp:effectExtent l="0" t="0" r="0" b="0"/>
                <wp:wrapNone/>
                <wp:docPr id="65" name="Frame6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arrangements.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Indices which are deemed “benchmarks” are the subject of recent national, international, and other regulatory guidance and proposals for reform. We are monitoring related reform proposals and evaluating the related risks; however, it is not possible to predict the effects of any of these developments, and any future initiatives to regulate, reform or change the manner of administration of benchmark indices could result in adverse consequences to the rate of interest payable and receivable on, market value of and market liquidity for financial instruments tied to variable interest rate indices.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Some of our borrowing agreements require payments based on a variable interest rate index, such as Secured Overnight Financing Rate.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It also does not include a variety of other potential factors that could affect our business as a result of changes in interest rates.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June 30, 2026, assuming we do not hedge our exposure to interest rate fluctuations related to our outstanding floating rate debt, a hypothetical 100-basis point increase/decrease in our variable interest rate on our borrowings would result in an increase of approximately $1.5 million or a decrease of approximately $1.5 million in interest expense over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6EBF"/>
          <w:sz w:val="20"/>
        </w:rPr>
      </w:pPr>
      <w:r>
        <w:rPr>
          <w:rFonts w:ascii="Arial;sans-serif" w:hAnsi="Arial;sans-serif"/>
          <w:b/>
          <w:color w:val="006EBF"/>
          <w:sz w:val="20"/>
        </w:rPr>
        <w:t>Item 4. Controls and Procedures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Disclosure Controls and Procedures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Internal Control over Financial Reporting</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have been no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32740"/>
                <wp:effectExtent l="0" t="0" r="0" b="0"/>
                <wp:wrapNone/>
                <wp:docPr id="66" name="Frame6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center"/>
        <w:rPr>
          <w:rFonts w:ascii="Arial;sans-serif" w:hAnsi="Arial;sans-serif"/>
          <w:b/>
          <w:color w:val="006EBF"/>
          <w:sz w:val="20"/>
        </w:rPr>
      </w:pPr>
      <w:r>
        <w:rPr>
          <w:rFonts w:ascii="Arial;sans-serif" w:hAnsi="Arial;sans-serif"/>
          <w:b/>
          <w:color w:val="006EBF"/>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6EBF"/>
          <w:sz w:val="20"/>
        </w:rPr>
      </w:pPr>
      <w:r>
        <w:rPr>
          <w:rFonts w:ascii="Arial;sans-serif" w:hAnsi="Arial;sans-serif"/>
          <w:b/>
          <w:color w:val="006EBF"/>
          <w:sz w:val="20"/>
        </w:rPr>
        <w:t>Item 1. Legal Proceedings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6EBF"/>
          <w:sz w:val="20"/>
        </w:rPr>
      </w:pPr>
      <w:r>
        <w:rPr>
          <w:rFonts w:ascii="Arial;sans-serif" w:hAnsi="Arial;sans-serif"/>
          <w:b/>
          <w:color w:val="006EBF"/>
          <w:sz w:val="20"/>
        </w:rPr>
        <w:t>Item 1A. Risk Factors</w:t>
      </w:r>
    </w:p>
    <w:p>
      <w:pPr>
        <w:pStyle w:val="TextBody"/>
        <w:bidi w:val="0"/>
        <w:spacing w:lineRule="auto" w:line="288" w:before="120" w:after="283"/>
        <w:jc w:val="both"/>
        <w:rPr>
          <w:rFonts w:ascii="Arial;sans-serif" w:hAnsi="Arial;sans-serif"/>
          <w:b w:val="false"/>
          <w:i/>
          <w:color w:val="000000"/>
          <w:sz w:val="18"/>
        </w:rPr>
      </w:pPr>
      <w:r>
        <w:rPr>
          <w:rFonts w:ascii="Arial;sans-serif" w:hAnsi="Arial;sans-serif"/>
          <w:b w:val="false"/>
          <w:i/>
          <w:color w:val="000000"/>
          <w:sz w:val="18"/>
        </w:rPr>
        <w:t>You should carefully consider the following risks and other information in this Form 10-Q in evaluating us and our common stock.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groups: risks related to our business, risks related to our capital structure, risks related to our Manager, risks related to the spin-off, risks related to the Wheeling acquisition, risks related to the Long Ridge sale and risks related to our common stock. However, these categories do overlap and should not be considered exclusive.</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Business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Uncertainty relating to macroeconomic conditions may reduce the demand for our assets, limit our ability to obtain additional capital to finance new investments or refinance existing debt, or have other unforeseen negative effects.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Uncertainty and negative trends in general economic conditions in the United States and abroad, including significant tightening of credit markets and commodity price volatility, have created in the past and may continue to create difficult operating environments for owners and operators in the infrastructure industry. Many factors, including factors that are beyond our control, may impact our operating results or financial condition. For some years, the world has experienced weakened economic conditions and volatility following adverse changes in global capital markets. Volatility in oil and gas markets can put significant upward or downward pressure on prices for these commodities, and may affect demand for assets used in production, refining and transportation of oil and gas. Additionally, the worldwide military or geopolitical environment, including the Russia-Ukraine conflict and the conflicts in the Middle East, including the war among Israel, America, Iran and other Middle Eastern nations and the related closure and blockade of the Strait of Hormuz and attacks on vessels in the Red Sea, and any related geopolitical or economic responses, U.S. federal government shutdowns, global macroeconomic effects of trade disputes and increased tariffs, such as those imposed, or that may be imposed, by the U.S., may put further upward or downward pressure on prices for such commodities. In the past, a significant decline in oil prices has led to lower production and transportation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industries in which we operate have experienced periods of oversupply during which asset values have declined, particularly during the most recent economic downturn, and any future oversupply could materially adversely affect our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oversupply of a specific asset is likely to depress the value of our assets and result in decreased utilization of our assets, and the industries in which we operate have experienced periods of oversupply during which asset values have declined, particularly during the most recent economic downturn. Factors that could lead to such oversupply include, without limitation: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general demand for the type of assets that we purchase;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general macroeconomic conditions, including market prices for commodities that our assets may serve;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geopolitical events, including war, prolonged armed conflict and acts of terrorism;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outbreaks of communicable diseases and natural disasters;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governmental regulation or economic, trade or other policies, including as a result of changing trade policies and tariffs, including related uncertainty or the imposition of modified or additional tariffs, trade wars, barriers or restrictions, or threats of such actions;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interest rates;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the availability of credit;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restructurings and bankruptcies of companies in the industries in which we operate, including our customers;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manufacturer production levels and technological innovation;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manufacturers merging or exiting the industry or ceasing to produce certain asset types;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32740"/>
                <wp:effectExtent l="0" t="0" r="0" b="0"/>
                <wp:wrapNone/>
                <wp:docPr id="67" name="Frame6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retirement and obsolescence of the assets that we own;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increases in supply levels of assets in the market due to the sale or merging of our customers;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reintroduction of previously unused or dormant assets into the industries in which we operate.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There can be no assurance that any target returns will be achieved.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geopolitical approach to infrastructure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flows.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Contractual defaults may adversely affect our business, prospects, financial condition, results of operations and cash flows by decreasing revenues and increasing storage, positioning, collection, recovery and lost equipment expenses.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contractual arrangements. Inherent in the nature of the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contractual arrangement. In addition, when counterparties default, we may fail to recover all of our assets, and the assets we do recover may be returned in damaged condition or to locations where we will not be able to efficiently use or sell them.</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we acquire a high concentration of a particular asset, or concentrate our investments in a particular sector, our business and financial results could be adversely affected by sector-specific or asset-specific factors. Any decrease in the value and rates of our assets may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not generate a sufficient amount of cash or generate sufficient free cash flow to fund our operations or repay our and our subsidiaries’ indebtedness and preferred stock.</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Our ability to make payments on our and our subsidiaries’ indebtedness and preferred stock as required depends on our and our subsidiaries’ ability to generate cash flow in the future. This ability, to a certain extent, is subject to general economic, financial, competitive, legislative, regulatory and other factors that are beyond our control. If we or our subsidiaries do not generate sufficient free cash flow to satisfy our or our subsidiaries’ debt or preferred stock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or preferred stock instruments then in effect. Furthermore,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32740"/>
                <wp:effectExtent l="0" t="0" r="0" b="0"/>
                <wp:wrapNone/>
                <wp:docPr id="68" name="Frame6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refinance would depend upon the condition of the finance and credit markets. Our inability to generate sufficient free cash flow to satisfy our and our subsidiaries’ debt and preferred stock obligations, or to refinance our and our subsidiaries’ obligations on commercially reasonable terms or on a timely basis, would materially affect our business, financial condition and results of operations.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operate in highly competitive markets.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business of acquiring infrastructure assets is highly competitive. Market competition for opportunities includes traditional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values of our assets may fluctuate due to various factors.</w:t>
      </w:r>
    </w:p>
    <w:p>
      <w:pPr>
        <w:pStyle w:val="TextBody"/>
        <w:bidi w:val="0"/>
        <w:spacing w:lineRule="auto" w:line="288" w:before="120" w:after="283"/>
        <w:jc w:val="both"/>
        <w:rPr/>
      </w:pPr>
      <w:r>
        <w:rPr>
          <w:rFonts w:ascii="Arial;sans-serif" w:hAnsi="Arial;sans-serif"/>
          <w:b w:val="false"/>
          <w:color w:val="000000"/>
          <w:sz w:val="18"/>
        </w:rPr>
        <w:t>The fair market values of our assets may decrease or increase depending on a number of factors, including general economic and market conditions affecting our target markets, type and age of assets, supply and demand for assets, competition, new governmental or other regulations and technological advances, all of which could impact our profitability and our ability to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Statements of Operations and such charge could be material</w:t>
      </w:r>
      <w:r>
        <w:rPr>
          <w:rFonts w:ascii="Arial;sans-serif" w:hAnsi="Arial;sans-serif"/>
          <w:b w:val="false"/>
          <w:i/>
          <w:color w:val="000000"/>
          <w:sz w:val="18"/>
        </w:rPr>
        <w:t>.</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received in the spin-off, and may in the future acquire, operating businesses, including businesses whose operations are not fully matured and stabilized (including, but not limited to, our businesses within the Railroad, Jefferson Terminal, Repauno, Power and Gas, and Sustainability and Energy Transition segments). While our Manager has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competition from market participants;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general economic and/or industry trends, including pricing for the products or services offered by our operating businesses;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the issuance and/or continued availability of necessary permits, licenses, approvals and agreements from governmental agencies and third parties as are required to construct and operate such businesses;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changes or deficiencies in the design or construction of development projects;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unforeseen engineering, environmental or geological problems;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potential increases in construction and operating costs due to changes in the cost and availability of fuel, power, materials and supplies;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the availability and cost of skilled labor and equipment;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potential liability for injury or casualty losses which are not covered by insurance;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potential opposition from non-governmental organizations, environmental groups, local or other groups which may delay or prevent development activities;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local and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32740"/>
                <wp:effectExtent l="0" t="0" r="0" b="0"/>
                <wp:wrapNone/>
                <wp:docPr id="69" name="Frame6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recent geopolitical events;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changes in legal requirements;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force majeure events, including catastrophes and adverse weather conditions.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Any of these factors could materially affect our business, financial condition, liquidity and results of operations.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use of joint ventures or partnerships, and our Manager’s outsourcing of certain functions, may present unforeseen obstacles or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received in the spin-off, and may in the future acquire, interests in certain assets in cooperation with third-party partners or co-investors through jointly 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 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our Manager expects to utilize third-party contractors to perform services and functions related to the operation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subject to the risks and costs of obsolescence of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Technological and other improvements expose us to the risk that certain of our assets may become technologically or commercially obsolete. If we are not able to acquire new technology or are unable to implement new technology, we may suffer a competitive disadvantage. For example, as the freight transportation markets we serve continue to evolve and become more efficient, the use of certain locomotives or railcars may decline in favor of other more economic modes of transportation. If the technology we use in our lines of business is superseded, or the cost of replacing our locomotives or railcars is expensive and requires additional capital, we could experience significant cost increases and reduced availability of the assets and equipment that are necessary for our operations. Any of these risks may adversely affect our ability to sell our assets on favorable terms, if at all, which could materially adversely affect our operating results and growth prospects.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North American rail sector is a highly regulated industry and increased costs of compliance with, or liability for violation of, existing or future laws, regulations and other requirements could significantly increase our operational costs of doing business, thereby adversely affecting our profitability.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federal agencies, including the U.S. Environmental Protection Agency (the “U.S. EPA”), the U.S. Department of Transportation (the “DOT”), the Occupational Safety and Health Act (the “OSHA”), the U.S. Federal Railroad Administration (the “FRA”), and the U.S. Surface Transportation Board (the “STB”), as well as numerous other state, provincial, local and federal agencies. Ongoing compliance with, or a violation of, these laws, regulations and other requirements could have a material adverse effect on our business, financial condition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believe that our rail operations are, and have been,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Legislation passed by the U.S. Congress or Canadian Parliament or new regulations issued by federal agencies can significantly affect the revenues, costs and profitability of our business. For instance, the STB’s recent proposal to modify its policy regarding forced reciprocal switching by rail carriers or other competitive access proposals, if adopted, could increase government involvement in railroad pricing, service and operations and significantly change the current federal regulatory framework of the railroad industry. Such changes could have a significant negative impact on the Company’s ability to determine prices for rail services, meet service standards and could force a reduction in capital spending. Statutes imposing price constraints or affecting rail-to-rail competition could adversely affect the Company’s profitability.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Under various U.S.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32740"/>
                <wp:effectExtent l="0" t="0" r="0" b="0"/>
                <wp:wrapNone/>
                <wp:docPr id="70" name="Frame6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trains or facilities or discover historical releases that were previously unidentified or not assessed. Although our inspection and testing programs are designed to prevent, detect and address any such releases promptly, the liabilities resulting from any future releases into the environment from our assets have the potential to substantially affect our business. Such events could also subject us to media and public scrutiny that could have a negative effect on our operations and also on the value of our common stock.</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business could be adversely affected if service on the railroads is interrupted or if more stringent regulations are adopted regarding railcar design or the transportation of crude oil by rail.</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increased pipeline congestion and a corresponding growth in crude oil being transported by rail from Canada and across the U.S. High-profile accidents involving crude-oil-carrying trains in Quebec, North Dakota and Virginia, and more recently in Saskatchewan, West Virginia and Illinois, have raised concerns about derailments and the environmental and safety risks associated with crude oil transport by rail and the associated risks arising from railcar design. In Canada, the transport of hazardous products is receiving greater scrutiny, which could impact our customers and our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business is subject to evolving regulations regarding railcar design and the transportation of hazardous materials. Following the 2023 East Palestine derailment, authorities have accelerated safety mandates, including the final transition to DOT-117 tank cars. As of May 2025, legacy CPC-1232 cars owned by Jefferson Terminal are largely prohibited from crude and ethanol service, with a final deadline of May 1, 2029, for all other flammable liquids.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 mitigate the costs of retrofitting our fleet of railcars at Jefferson and the risks of stricter operational controls, we are increasingly focusing our business development on customers and commodities that do not involve the movement of hazardous materials. Despite this shift, any additional federal or provincial mandates—such as real-time reporting requirements or speed restrictions—could still increase compliance costs. Furthermore, railroad service disruptions due to labor disputes, mechanical failures, or extreme weather could adversely affect our operations and financial results.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could be negatively impacted by environmental, social, and governance (“ESG”) and sustainability-related matters.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Governments, investors, customers, employees and other stakeholders are increasingly focusing on corporate ESG practices and disclosures, and expectations in this area continue to evolve. In addition, ESG laws and regulations are expanding mandatory disclosure, reporting and diligence requirements. We have announced, and may in the future announce, sustainability-focused investments, partnerships and other initiatives and goals.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On the other hand, state attorneys general and other governmental authorities may take action against certain ESG policies or practices, and we may become subject to restrictions on ESG initiatives. If we fail or are perceived to have failed to achieve previously announced initiatives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32740"/>
                <wp:effectExtent l="0" t="0" r="0" b="0"/>
                <wp:wrapNone/>
                <wp:docPr id="71" name="Frame7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goals, accurately disclose our progress on such initiatives or goals or comply with various ESG and anti-ESG practices and regulations, our reputation, business, financial condition and results of operations could be adversely impacted.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transport hazardous materials.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transport certain hazardous materials and other materials, including crude oil, ethanol, and toxic inhalation hazard (“TIH”) materials, such as chlorine, that pose certain risks in the event of a release or combustion. Additionally, U.S. laws impose common carrier obligations on railroads that require us to transport certain hazardous materials regardless of risk or potential exposure to loss. In addition, insurance premiums charged for, or the self-insured retention associated with, some or all of the coverage currently maintained by us could increase dramatically or certain coverage may not be available to us in the future if there is a catastrophic event related to rail transportation of these materials. A rail accident or other incident or accident on our network, at our facilities, or at the facilities of our customers involving the release or combustion of hazardous materials could involve significant costs and claims for personal injury, property damage, and environmental penalties and remediation in excess of our insurance coverage for these risks, which could have a material adverse effect on our results of operations, financial condition, and liquidity.</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be affected by fluctuating prices for fuel and energy.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Volatility in energy prices could have a significant effect on a variety of items, including, but not limited to: the economy; demand for transportation services; business related to the energy sector, including the production and processing of crude oil, natural gas, and coal; fuel prices; and fuel surcharges. Particularly in our rail business, fuel costs constitute a significant portion of our expenses. Diesel fuel prices and availability can be subject to dramatic fluctuations, and significant price increases could have a material adverse effect on our operating results. If a severe fuel supply shortage arose from production curtailments, disruption of oil imports or domestic oil production, disruption of domestic refinery production, damage to refinery or pipeline infrastructure, political unrest, war, terrorist attack or otherwise, diesel fuel may not be readily available and may be subject to rationing regulations. Currently, we receive fuel surcharges and other rate adjustments to offset fuel prices, although there may be a significant delay in our recovery of fuel costs based on the terms of the fuel surcharge program. If Class I railroads change their policies regarding fuel surcharges, the compensation we receive for increases in fuel costs may decrease, which could have a negative effect on our profitability; in fact, we cannot be certain that we will always be able to mitigate rising or elevated fuel costs through fuel surcharges at all, as future market conditions or legislative or regulatory activities could adversely affect our ability to apply fuel surcharges or adequately recover increased fuel costs through fuel surcharges.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International, political, and economic factors, events and conditions and the potential for worsening economic conditions or economic downturn, including as a result of recent geopolitical events, including the war among Israel, America, Iran and other Middle Eastern nations and the related closure and blockade of the Strait of Hormuz and attacks on vessels in the Red Sea, and changing trade policies and tariffs, including related uncertainty or the imposition of modified or additional tariffs, trade wars, barriers or restrictions, or threats of such actions, may affect the volatility of fuel prices and supplies. Weather can also affect fuel supplies and limit domestic refining capacity. A severe shortage of, or disruption to, domestic fuel supplies could have a material adverse effect on our results of operations, financial condition, and liquidity. In addition, lower fuel prices could have a negative impact on commodities we process and transport, such as crude oil and petroleum products, which could have a material adverse effect on our results of operations, financial condition, and liquidity.</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Because we depend on Class I railroads for a significant portion of our operations in North America, our results of operations, financial condition and liquidity may be adversely affected if our relationships with these carriers deteriorate.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railroad industry in the United States and Canada is dominated by six Class I carriers that have substantial market control and negotiating leverage. In addition, Class I carriers also traditionally have been significant sources of business for us, and may be future sources of potential acquisition candidates as they divest branch lines. A decision by any of these Class I carriers to cease or re-route certain freight movements or to alter existing business relationships, including operational or relationship changes, could have a material adverse effect on our results of operations. The overall impact of any such decision would depend on which Class I carrier is involved, the routes and freight movements affected, as well as the nature of any changes.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Railroad segment faces competition from other railroads and other transportation providers.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Railroad segment faces competition from other railroads, motor carriers, ships, barges, and pipelines. We operate in some corridors served by other railroads and motor carriers. In addition to price competition, we face competition with respect to transit times, quality, and reliability of service from motor carriers and other railroads. Motor carriers in particular can have an advantage over railroads with respect to transit times and timeliness of service. However, railroads are much more fuel-efficient than trucks, which reduces the impact of transporting goods on the environment and public infrastructure. Additionally, we must build or acquire and maintain our rail system, while trucks, barges, and maritime operators are able to use public rights-of-way maintained by public entities. Any of the following could also affect the competitiveness of our rail services, which could have a material adverse effect on our results of operations, financial condition, and liquidity: (i) improvements or expenditures materially increasing the quality or reducing the costs of these alternative modes of transportation, such as autonomous or more fuel efficient trucks, (ii) legislation that eliminates or significantly increases the size or weight limitations applied to motor carriers, or (iii) legislation or regulatory changes that impose operating restrictions on railroads or that adversely affect the profitability of some or all railroad traffic. Additionally, any future consolidation of the rail industry could materially affect our competitive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32740"/>
                <wp:effectExtent l="0" t="0" r="0" b="0"/>
                <wp:wrapNone/>
                <wp:docPr id="72" name="Frame7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assets are exposed to unplanned interruptions caused by events outside of our control which may disrupt our business and cause damage or losses that may not be adequately covered by insurance.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operations of infrastructure projects are exposed to unplanned interruptions caused by breakdown or failure of equipment or plants, aging infrastructure, employee error or contractor or subcontractor failure, problems that delay or increase the cost of returning facilities to service after outages, limitations that may be imposed by equipment conditions or environmental, safety or other regulatory requirements, fuel supply or fuel transportation reductions or interruptions, labor disputes, difficulties with the implementation or operation of information systems, derailments, power outages, pipeline or electricity line ruptures and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We have in the past experienced power outages at plants which disrupted their operations and negatively impacted our revenues. We cannot assure you that similar events may not occur in the future.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no assurance can be given that the occurrence of any such event will not materially adversely affect us.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actively evaluating potential acquisitions of assets and operating companies in other infrastructure sectors which could result in additional risks and uncertainties for our business and unexpected regulatory compliance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While our existing portfolio consists of assets in the energy, port and rail sectors, we are actively evaluating potential acquisitions of assets and operating companies in other infrastructure sectors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infrastructure assets, including certain rail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Restrictive covenants in our and our subsidiaries’ debt and preferred stock instruments may adversely affect us.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instruments governing our and our subsidiaries’ outstanding debt and preferred stock contain certain restrictive covenants that limit our ability to engage in activities that may be in our long-term best interests. For example, these covenants significantly restrict our and certain of our subsidiaries’ ability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incur indebtedness;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issue equity interests of the Company ranking </w:t>
      </w:r>
      <w:r>
        <w:rPr>
          <w:rFonts w:ascii="Arial;sans-serif" w:hAnsi="Arial;sans-serif"/>
          <w:b w:val="false"/>
          <w:i/>
          <w:color w:val="000000"/>
          <w:sz w:val="18"/>
        </w:rPr>
        <w:t>pari passu</w:t>
      </w:r>
      <w:r>
        <w:rPr>
          <w:color w:val="000000"/>
        </w:rPr>
        <w:t xml:space="preserve"> </w:t>
      </w:r>
      <w:r>
        <w:rPr>
          <w:rFonts w:ascii="Arial;sans-serif" w:hAnsi="Arial;sans-serif"/>
          <w:b w:val="false"/>
          <w:color w:val="000000"/>
          <w:sz w:val="18"/>
        </w:rPr>
        <w:t>with, or senior in priority to, our Series B Redeemable Convertible Preferred Stock;</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issue equity interests of any subsidiary of the Company;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pay dividends or make other distributions;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repurchase or redeem capital stock or subordinated indebtedness and make investments;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create liens;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incur dividend or other payment restrictions affecting the Company and certain of its subsidiaries;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transfer or sell assets, including capital stock of subsidiaries;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merge or consolidate with other entities or transfer all or substantially all of the Company’s assets;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take actions to cause the Company to cease to be treated as a domestic C corporation for U.S. tax purposes;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consummate a change in control without concurrently redeeming the Series A Preferred Stock - RailCo and the Series A Warrants - RailCo;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amend, terminate or permit the assignment or subcontract of, or the transfer of any rights or obligations under, the Management Agreement, in order to alter the (i) scope of services in any material respect, (ii) the compensation, fee payment or other economic terms relating to the Management Agreement, or (iii) the scope of matters expressly required to be approved by the Independent Directors (as such term is defined in the Management Agreement) pursuant to the Management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32740"/>
                <wp:effectExtent l="0" t="0" r="0" b="0"/>
                <wp:wrapNone/>
                <wp:docPr id="73" name="Frame7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engage in certain intercompany transactions;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engage in certain prohibited business activities;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enter into transactions with affiliates.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While these covenants are subject to a number of important exceptions and qualifications, such restrictive covenants could affect our ability to operate our business and may limit our ability to take advantage of potential business opportunities. Events beyond our control can affect our ability to comply with these covenants. If an event of default occurs, we cannot assure you that we would have sufficient assets to repay all of our obligations.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certain other debt instruments (including the Series 2020A Bonds, Series 2021 Bonds and Series 2024 Bonds, the EB-5 loan agreements, the Long Ridge Acquiom Loan, the RailCo Revolver and the Term Loan Credit Agreement) and the Series A Preferred Stock - RailCo and the Series A Warrants - RailCo include restrictive covenants that may materially limit our, or our subsidiaries’, ability to repay other debt or require us to achieve and maintain compliance with specified financial ratios. See “Description of Indebtedness” in the Information Statement filed with the SEC on Form 8-K on July 15, 2022 and Exhibits 10.11, 10.14 and 10.15 included herein.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degree to which we are leveraged could cause a material adverse effect on our business,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responsible for servicing our own debt and obtaining and maintaining sufficient working capital and other funds to satisfy our cash requirements. Our access to and cost of debt financing is different from the historical access to and cost of debt financing under FTAI. Differences in access to and cost of debt financing may result in differences in the interest rates charged to us on financings, as well as the amount of indebtedness, types of financing structures and debt markets that may be available to us. Our ability to make payments on and to refinance our and our subsidiaries’ indebtedness and preferred stock, as well as any future debt and preferred stock that we or our subsidiaries may incur, will depend on our ability to generate cash in the future from operations, financings and/or asset sales. Our ability to generate cash is subject to general economic, financial, competitive, legislative, regulatory and other factors that are beyond our control.</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Terrorist attacks or other hostilities could negatively impact our operations and our profitability and may expose us to liability and reputational damage.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Terrorist attacks may negatively affect our operations. Such attacks have contributed to economic instability in the United States and elsewhere, and further acts of terrorism, violence or war, including recent geopolitical events, could similarly affect world trade and the industries in which we and our customers operate. In addition, terrorist attacks or hostilities may directly impact locations where our trains and containers travel or our physical facilities or those of our customers.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inability to obtain sufficient capital would constrain our ability to grow our portfolio and to increase our revenues.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meet the terms and maturities of our existing and future debt facilities;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purchase new assets or refinance existing assets;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fund our working capital needs and maintain adequate liquidity;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finance other growth initiatives.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“—If we are deemed an investment company under the Investment Company Act, it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effects of various environmental regulations may negatively affect the industries in which we operate which could have a material adverse effect on our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are subject to federal, state and local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Under some environmental laws in the United States, strict liability may be imposed on the owners or operators of assets, which could render us liable for environmental and natural resource damages without regard to negligence or fault on our part. In addition, changes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32740"/>
                <wp:effectExtent l="0" t="0" r="0" b="0"/>
                <wp:wrapNone/>
                <wp:docPr id="74" name="Frame7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prohibitions or severe restrictions on infrastructure development in certain areas,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While we typically maintain liability insurance coverage,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Repauno site and the Long Ridge property are subject to environmental laws and regulations that may expose us to significant costs and liabilities.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Repauno site is subject to ongoing environmental investigation and remediation by the former owner that sold Repauno to FTAI (the “Repauno Seller”) related to historic industrial operations. The Repauno Seller is responsible for completion of this work, and we benefit from a related indemnity and insurance policy. If the Repauno Seller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Repauno Seller’s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a portion of the Long Ridge site was redeveloped as a combined cycle gas-fired electric generating facility, and other portions will likely be redeveloped in the future. Although we have not identified material impacts to soils or groundwater that reasonably would be expected to prevent or delay further redevelopment projects, impacted materials could be encountered that require special handling and/or result in delays to those projects. Any additional projects may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the Repauno or Long Ridge sites into hubs for industrial and energy development in a timely manner, their future prospects could be materially and adversely affected, which may have a material adverse effect on our business, operating results and financial condition.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have material customer concentration with respect to the Jefferson Terminal and Railroad segments, with a limited number of customers accounting for a material portion of our revenues.</w:t>
      </w:r>
    </w:p>
    <w:p>
      <w:pPr>
        <w:pStyle w:val="TextBody"/>
        <w:bidi w:val="0"/>
        <w:spacing w:lineRule="auto" w:line="288" w:before="120" w:after="283"/>
        <w:jc w:val="both"/>
        <w:rPr/>
      </w:pPr>
      <w:r>
        <w:rPr>
          <w:rFonts w:ascii="Arial;sans-serif" w:hAnsi="Arial;sans-serif"/>
          <w:b w:val="false"/>
          <w:color w:val="000000"/>
          <w:sz w:val="18"/>
        </w:rPr>
        <w:t>We earned approximately 23%</w:t>
      </w:r>
      <w:r>
        <w:rPr>
          <w:color w:val="000000"/>
        </w:rPr>
        <w:t xml:space="preserve"> </w:t>
      </w:r>
      <w:r>
        <w:rPr>
          <w:rFonts w:ascii="Arial;sans-serif" w:hAnsi="Arial;sans-serif"/>
          <w:b w:val="false"/>
          <w:color w:val="000000"/>
          <w:sz w:val="18"/>
        </w:rPr>
        <w:t>of total revenues for both the three and six months ended June 30, 2026 from one customer in the Railroad segment. Additionally, we earned approximately 8% of total revenues for both the three and six months ended June 30, 2026 from one customer in the Jefferson Terminal segment. We earned approximately 32% and 36%, respectively, of total revenues for the three and six months ended June 30, 2025 from one customer in the Railroad segment. Additionally, we earned approximately 11% of total revenues for both the three and six months ended June 30, 2025, from one customer in the Jefferson Terminal segment. As of June 30, 2026, accounts receivable from two customers within the Jefferson Terminal and Railroad segments represented 33% of total accounts receivable, net. As of December 31, 2025, accounts receivable from three customers within the Jefferson Terminal and Railroad segments represented 41% of total accounts receivable, net.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are inherent risks whenever a large percentage of total revenues are concentrated with a limited number of customers. It is not possible for us to predict the future level of demand for our services that will be generated by these customers or the future demand for the products and services of these customers in the end-user marketplace. In addition, revenues from these customers may fluctuate from time to time based on the commencement and completion of projects, the timing of which may be affected by market conditions or other factors, some of which may be outside of our control. If any of these customers experience declining or delayed sales due to market, economic or competitive conditions, or undergo material management or ownership changes, we could be pressured to reduce the prices we charge for our services or we could lose a major customer. Any such development could have an adverse effect on our margins and financial position and would negatively affect our revenues and results of operations and/or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32740"/>
                <wp:effectExtent l="0" t="0" r="0" b="0"/>
                <wp:wrapNone/>
                <wp:docPr id="75" name="Frame7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 cyberattack that bypasses our information technology (“IT”) security systems or the IT security systems of our third-party providers, causing an IT security breach or cybersecurity incident, may lead to a disruption of our IT systems and the loss of business information which may hinder our ability to conduct our business effectively and may result in lost revenues and additional costs.</w:t>
      </w:r>
    </w:p>
    <w:p>
      <w:pPr>
        <w:pStyle w:val="TextBody"/>
        <w:bidi w:val="0"/>
        <w:spacing w:lineRule="auto" w:line="288" w:before="120" w:after="283"/>
        <w:jc w:val="both"/>
        <w:rPr/>
      </w:pPr>
      <w:r>
        <w:rPr>
          <w:rFonts w:ascii="Arial;sans-serif" w:hAnsi="Arial;sans-serif"/>
          <w:b w:val="false"/>
          <w:color w:val="000000"/>
          <w:sz w:val="18"/>
        </w:rPr>
        <w:t>Parts of our business depend on the secure operation of our IT systems and the IT systems of our third-party providers to manage, process, store, and transmit information. We have, from time to time, experienced cybersecurity threats to our data and systems, including malware and computer virus attacks, any of which could be enhanced or facilitated by artificial intelligence. A cyberattack that bypasses our IT security systems or the IT security systems of our third-party providers, causing an IT security breach or cybersecurity incident,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 or incidents</w:t>
      </w:r>
      <w:r>
        <w:rPr>
          <w:rFonts w:ascii="Arial;sans-serif" w:hAnsi="Arial;sans-serif"/>
          <w:b w:val="false"/>
          <w:i/>
          <w:color w:val="000000"/>
          <w:sz w:val="18"/>
        </w:rPr>
        <w:t>.</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we are deemed an “investment company” under the Investment Company Act, it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entities which are at least 50% owned that are not themselves investment companies and are not relying on the exception from the definition of investment company for certain privately offered investment vehicles set forth in Section 3(c)(1) or Section 3(c)(7) of the Investment Company Act.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Adverse judgments or settlements in legal proceedings could materially harm our business, financial condition, operating results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may be party to claims that arise from time to time in the ordinary course of our business, which may include those related to, for example, contracts, sub-contracts, employment of our workforce and immigration requirements or compliance with any of a wide array of state and federal statutes, rules and regulations that pertain to different aspects of our business. We may also be required to initiate expensive litigation or other proceedings to protect our business interests. There is a risk that we will not be successful or otherwise be able to satisfactorily resolve any pending or future litigation. In addition, litigation and other legal claims are subject to inherent uncertainties and management’s view of currently pending legal matters may change in the future. Those uncertainties include, but are not limited to, litigation costs and attorneys’ fees, unpredictable judicial or jury decisions and the differing laws regarding damage awards among the states in which we operate. Unexpected outcomes in such legal proceedings, or changes in management’s evaluation or predictions of the likely outcomes of such proceedings (possibly resulting in changes in established reserves), could have a material adverse effect on our business, financial condition, results of operations and cash flows.</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Manager</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dependent on our Manager and other key personnel at Fortress and may not find suitable replacements if our Manager terminates the Management Agreement or if other key personnel depart.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Our officers and other individuals who perform services for us (other than Jefferson Terminal, Repauno, Long Ridge, Transtar, Wheeling, Clean Planet, FYX, and CarbonFree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and whose continued service is not guaranteed, and the loss of such personnel or services could materially adversely affect our operations. We do not have key man insurance for any of the personnel of the Manager or other Fortress entities that are key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32740"/>
                <wp:effectExtent l="0" t="0" r="0" b="0"/>
                <wp:wrapNone/>
                <wp:docPr id="76" name="Frame7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us. An inability to find a suitable replacement for any departing employee of our Manager or Fortress entities on a timely basis could materially adversely affect our ability to operate and grow our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our Manager may assign our Management Agreement to an entity whose business and operations are managed or supervised by Mr. Wesley R. Edens, who is an employee of Fortress, which is an affiliate of our Manager, and who until May 2024, was a principal and a member of the board of directors of Fortress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May 14, 2024, certain members of Fortress management and affiliates of Mubadala completed their acquisition of 100% of the equity of Fortress. While Fortress’s senior investment professionals are expected to remain at Fortress, including those individuals who perform services for us, there can be no assurance that the transaction will not have an adverse impact on us or our relationship with our Manager.</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There are conflicts of interest in our relationship with our Manager.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Management Agreement was not negotiated at arm’s-length, and its terms, including fees payable, may not be as favorable to us as if they had been negotiated with an unaffiliated third party.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are conflicts of interest inherent in our relationship with our Manager insofar as our Manager and its affiliates—including investment funds, private investment funds, or businesses managed by our Manager, including Florida East Coast Industries, LLC (“FECI”)—invest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Although we have the same Manager, we may compete with entities affiliated with our Manager or Fortress, including FECI, for certain target assets. From time to time, entities affiliated with or managed by our Manager or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In connection with the spin-off, we received assets previously purchased by FTAI, and we may in the future purchase assets from these funds, and FTAI has previously co-invested and we may in the future co-invest with these funds in infrastructure assets. Fortress funds generally have a fee structure similar to ours, but the fees actually paid will vary depending on the size, terms and performance of each fund.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infrastructure related management and other investment opportunities in the future, which may compete with us for investments or result in a change in our current investment strategy. In addition, our certificate of incorporation provides that if any of the Fortress Parties or any of their officers, directors or employees acquire knowledge of a potential transaction that could be a corporate opportunity, they have no duty, to the fullest extent permitted by law, to offer such corporate opportunity to us, our stockholders or our affiliates. In the event that any of our directors and officers who is also a director, officer or employee of any of the Fortress Parties or their affiliates acquires knowledge of a corporate opportunity or is offered a corporate opportunity, provided that this knowledge was not acquired solely in such person’s capacity as a director or officer of us and such person acts in good faith, then to the fullest extent permitted by law such person is deemed to have fully satisfied such person’s fiduciary duties owed to us and is not liable to us if any of the Fortress Parties, or their respective affiliates, pursues or acquires the corporate opportunity or if such person did not present the corporate opportunity to us.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FTAI and FECI,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party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structure of our Manager’s compensation arrangements may have unintended consequences for us. We have agreed to pay our Manager a management fee that is based on different measures of performance. Consequently, there may be conflicts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32740"/>
                <wp:effectExtent l="0" t="0" r="0" b="0"/>
                <wp:wrapNone/>
                <wp:docPr id="77" name="Frame7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incentives of our Manager to generate attractive risk-adjusted returns for us. Investments with higher yield potential are generally riskier or more speculative than investments with lower yield potential. This could result in increased risk to the value of our portfolio of assets and our common stock.</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directors have approved a broad asset acquisition strategy for our Manager and will not approve each acquisition we make at the direction of our Manager. In addition, we may change our strategy without a stockholder vote, which may result in our acquiring assets that are different, riskier or less profitable than our current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stockholder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will not review or pre-approve each proposed acquisition or our related financing arrangements. In addition, in conducting periodic reviews, the directors will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stockholder vote.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stock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Manager will not be liable to us for any acts or omissions performed in accordance with the Management Agreement, including with respect to the performance of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our Manager, will not be liable to us or any of our subsidiaries, to our board of directors, or our or any subsidiary’s stockholders or partners for any acts or omissions by our Manager, its members, managers, officers, employees, sub-advisers and any other person controlling our Manager, except liability to us, our stockholders,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Manager’s due diligence of potential asset acquisitions or other transactions may not identify all pertinent risks, which could materially affect our business, financial condition, liquidity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compete with affiliates of and entities managed by our Manager which could adversely affect our and their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Affiliates of and entities managed by our Manager are primarily engaged in the infrastructure and energy business and invest in, and actively manage, portfolios of infrastructure and energy investments and other assets. Affiliates of and entities managed by our Manager are not restricted in any manner from competing with us. After the spin-off, affiliates of and entities managed by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32740"/>
                <wp:effectExtent l="0" t="0" r="0" b="0"/>
                <wp:wrapNone/>
                <wp:docPr id="78" name="Frame7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Manager may decide to invest in the same types of assets that we invest in. Furthermore, certain of our directors and officers are the same as certain of our Manager’s affiliates. See “—Risks Related to Our Manager—There are conflicts of interest in our relationship with our Manager.”</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the Spin-off</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ownership by some of our directors of common shares, options, or other equity awards of FTAI may create, or may create the appearance of, conflicts of interest.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Because some of our directors also currently hold positions with FTAI, they own FTAI common shares, options to purchase FTAI common shares or other equity awards. For example, Judith Hannaway and Ray Robinson are directors of both FTAI and FTAI Infrastructure, and Joseph Adams, Jr., who is the chairman of the board of both FTAI and FTAI Infrastructure and is the chief executive officer of FTAI, owns common shares and options to purchase common shares in both FTAI and FTAI Infrastructure. Ownership by some of our directors of common shares or options to purchase common shares of FTAI, or any other equity awards, creates, or may create the appearance of, conflicts of interest when these directors are faced with decisions that could have different implications for FTAI than they do for us.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share certain key directors with FTAI, which means those officers do not devote their full time and attention to our affairs and the overlap may give rise to conflicts.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is an overlap between certain key directors of the Company and of FTAI. Judith Hannaway and Ray Robinson are directors of both the Company and FTAI, and Joseph Adams, Jr. is the chairman of the board of directors of both the Company and FTAI, and continues to serve as the chief executive officer of FTAI. Shared directors may have actual or apparent conflicts of interest with respect to matters involving or affecting each company. For example, there will be the potential for a conflict of interest when we on the one hand, and FTAI and its respective subsidiaries and successors on the other hand, are party to commercial transactions concerning the same or adjacent investments. In addition, certain of our directors and officers continue to own shares and/or options or other equity awards of FTAI. These ownership interests could create actual, apparent or potential conflicts of interest when these individuals are faced with decisions that could have different implications for our company and FTAI. See “Certain Relationships and Related Party Transactions—Our Manager and Management Agreement” in the Information Statement filed with the SEC on Form 8-K on July 15, 2022 for a discussion of certain procedures we instituted to help ameliorate such potential conflicts that may arise.</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the Wheeling Acquisition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be unable to successfully integrate the businesses and realize the anticipated benefits of the Wheeling Acquisition.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success of the Wheeling Acquisition will depend, in part, on our ability to successfully integrate Wheeling, with our business and realize the anticipated benefits, including synergies, cost savings, innovation and operational efficiencies, from this combination. If we are unable to achieve these objectives within the anticipated time frame, or at all, the anticipated benefits may not be realized fully, or at all, or may take longer to realize than expected and the value of our common stock may be harmed. Additionally, as a result of the Wheeling Acquisition, rating agencies may take negative actions against our credit ratings, which may increase our financing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integration of Wheeling into our business is a complex, costly and time-consuming process, and may result in material challenges, including, without limitation: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failure to successfully integrate Wheeling in a manner that permits us to realize the anticipated benefits of the acquisition;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managing a larger rail platform;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difficulties expanding our customer base;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difficulties and delays integrating Wheeling’s operations and systems and retaining key employees;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higher than anticipated costs incurred in connection with the integration of Wheeling;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the possibility of faulty assumptions underlying expectations regarding the integration process;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retaining existing business and operational relationships and attracting new business and operational relationships;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disruptions to our ongoing business and diversion of our management’s attention caused by transition or integration activities involving Wheeling;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consolidating corporate and administrative infrastructures and eliminating duplicative functions;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assumption of pre-existing contractual relationships of Wheeling that we may not have otherwise entered into, the termination or modification of which may be costly or disruptive to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unanticipated issues in integrating information technology, communications and other systems;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incurring debt to finance the Wheeling Acquisition, which will increase our debt service requirements, expense and leverage;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32740"/>
                <wp:effectExtent l="0" t="0" r="0" b="0"/>
                <wp:wrapNone/>
                <wp:docPr id="79" name="Frame7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any potential litigation arising from the transaction;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unanticipated changes in applicable federal or state laws or regulations.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Many of these factors will be outside of our control and any one of them could result in delays, increased costs, decreases in the amount of expected revenues and diversion of management’s time and energy, which could materially affect our financial position,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not have discovered undisclosed liabilities or other issues of Wheeling during our due diligence process, and we may not have adequate legal protection from potential liabilities of, or in respect of our acquisition of Wheeling.</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the course of the due diligence review of Wheeling that we conducted prior to the execution of the Stock Purchase Agreement, we may not have discovered, or may have been unable to quantify, undisclosed liabilities or other issues relating to Wheeling and its subsidiaries. Moreover, we may not have adequate legal protection from potential liabilities of, or in respect of our acquisition of Wheeling, irrespective of whether or not such potential liabilities were discovered. Examples of such undisclosed or potential liabilities or other issues may include, but are not limited to, pending or threatened litigation, regulatory and environmental compliance, tax liabilities, indemnification of obligations, undisclosed counterparty termination rights, or undisclosed letter of credit or guarantee requirements. Any such undisclosed or potential liabilities or other issues could have an adverse effect on our business, results of operations, financial condition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Wheeling faces competition from other railroads and other transportation providers.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Wheeling faces competition from other railroads, motor carriers, ships, barges, and pipelines. Wheeling operates in some corridors served by other railroads and motor carriers. In addition to price competition, Wheeling faces competition with respect to transit times, quality, and reliability of service from motor carriers and other railroads. Motor carriers in particular can have an advantage over railroads with respect to transit times and timeliness of service. However, railroads are much more fuel-efficient than trucks, which reduces the impact of transporting goods on the environment and public infrastructure. Additionally, Wheeling must build or acquire and maintain its rail system, while trucks, barges, and maritime operators are able to use public rights-of-way maintained by public entities. Any of the following could also affect the competitiveness of our rail services, which could have a material adverse effect on our results of operations, financial condition, and liquidity: (i) improvements or expenditures materially increasing the quality or reducing the costs of these alternative modes of transportation, such as autonomous or more fuel efficient trucks, (ii) legislation that eliminates or significantly increases the size or weight limitations applied to motor carriers, or (iii) legislation or regulatory changes that impose operating restrictions on railroads or that adversely affect the profitability of some or all railroad traffic. Additionally, any future consolidation of the rail industry could materially affect our competitive environment.</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Wheeling has material customer concentration, with a limited number of customers accounting for a material portion of our revenues.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Wheeling earned approximately 5% of its total revenues for the six months ended June 30, 2026 from one customer. There are inherent risks whenever a large percentage of total revenues are concentrated with a limited number of customers. It is not possible for us to predict the future level of demand for Wheeling’s services that will be generated by these customers or the future demand for the products and services of these customers in the end-user marketplace. In addition, revenues from these customers may fluctuate from time to time, which may be affected by market conditions or other factors, some of which may be outside of our control. If any of these customers experience declining or delayed sales due to market, economic or competitive conditions, or undergo material management or ownership changes, Wheeling could be pressured to reduce the prices it charges for its services or could lose a major customer. Any such development could have a significant adverse impact on the business and financial condition of the Company.</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future results of the Company may be adversely impacted if the Company does not effectively manage its expanded operations following the completion of the Wheeling Acquisition.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a result of the Wheeling Acquisition, the size of the Company’s business has increased significantly. The Company’s ability to successfully manage this expanded business will depend, in part, upon management’s ability to design and implement strategic initiatives that address not only the integration of Wheeling, but also the increased scale and scope of the combined business with its associated increased costs and complexity.</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Wheeling has not been required to comply with the Sarbanes-Oxley Act of 2002 (“Sarbanes-Oxley”).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Prior to the Wheeling Acquisition, Wheeling was a privately-held company not subject to Sarbanes-Oxley. Sarbanes-Oxley requires public companies to have and maintain effective internal control over financial reporting to provide reasonable assurance regarding the reliability of financial reporting and preparation of financial statements and to have management report on the effectiveness of those controls on an annual basis (and have its independent public accountants attest annually to the effectiveness of such internal controls). As a private company, Wheeling is not required to comply with the requirements of Sarbanes-Oxley.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are in progress with applying our Sarbanes-Oxley procedures regarding internal controls over financial reporting with respect to Wheeling. This process will require us to expend a significant amount of time from our management and other personnel and will require us to expend a significant amount of financial resources, which is likely to increase our compliance costs. Even after expending such resources, we cannot assure you that we will be able to conclude that our internal controls over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32740"/>
                <wp:effectExtent l="0" t="0" r="0" b="0"/>
                <wp:wrapNone/>
                <wp:docPr id="80" name="Frame7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reporting with respect to Wheeling are effective within the time frame required. If we are not able to comply with the requirements of Sarbanes-Oxley in a timely manner, we could be subject to sanctions or investigations by the SEC or other regulatory authorities, which would entail expenditure of additional financial and management resources and could materially adversely affect the combined company.</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the Long Ridge Sale</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closing of the Long Ridge sale is subject to conditions, some or all of which may not be satisfied or completed on a timely basis, if at all. Failure to complete the Long Ridge sale could negatively impact our stock price and future business and financial results.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completion of the Long Ridge sale is subject to a number of conditions, including, among others, the receipt of the requisite regulatory approvals, which make the completion of the Long Ridge sale and timing thereof uncertain. Also, either Buyer or the Company may terminate the Agreement if the Long Ridge sale has not been consummated by November 30, 2026 (subject to an automatic extension in certain circumstances), except that this right to terminate the Agreement will not be available to any party whose breach or violation of the representations, warranties or covenants set forth in the Agreement would prevent the satisfaction of the conditions to the closing of the Long Ridge sale set forth in the Agreement.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the Long Ridge sale is not completed, the Company’s ongoing business may be materially adversely affected and, without realizing any of the benefits of having completed the Long Ridge sale, the Company will be subject to a number of risks, including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to the extent that the trading price of our common stock reflects an assumption that the Long Ridge sale will be completed, the market price of the Company’s common stock could decline;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if the Agreement is terminated and the Company’s board seeks another business combination, Company stockholders cannot be certain that the Company will be able to find a party willing to enter into a transaction on terms equivalent to or more attractive than the terms that Buyer has agreed to in the Agreement;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time, resources, and costs committed by the Company’s management team to matters relating to the Long Ridge sale could otherwise have been devoted to pursuing other beneficial opportunities;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the Company may experience negative reactions from the financial markets or from its customers, suppliers, employees, labor unions, or other business partners;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the Company will be required to pay its respective costs relating to the Long Ridge sale, such as legal, accounting, financial advisory, and printing fees, whether or not the Long Ridge sale is completed.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if the Long Ridge sale is not completed, the Company could be subject to litigation related to any failure to complete the Long Ridge sale or related to any enforcement proceeding commenced against the Company to perform its obligations under the Agreement, and whether or not any such litigation has any merit, the cost of defending such litigation may be significant. The materialization of any of these risks could adversely impact the Company’s ongoing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Similarly, delays in the completion of the Long Ridge sale could, among other things, result in additional transaction costs, loss of revenue, or other negative effects associated with uncertainty about completion of the Long Ridge sale. </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pendency of the Long Ridge sale may disrupt our business and divert management’s attention from ongoing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efforts and costs to satisfy the closing conditions of the Agreement may place a significant burden on management and internal resources, and the Long Ridge sale and related transactions, whether or not consummated, may result in a diversion of management’s attention from day-to-day operations. Any significant diversion of management’s attention away from ongoing business and difficulties encountered in the Long Ridge sale process could have a material adverse effect on our business, results of operations and financial condition. Uncertainty as to our future could adversely affect our business and our relationship with existing and potential customers, suppliers and other third parties. For example, customers, suppliers and other third parties may defer decisions concerning working with us or seek to change existing business relationships with us. Changes to, or termination of, existing business relationships could adversely affect our revenue, earnings and financial condition, as well as the market price of our common stock. The adverse effects of the pendency of the Long Ridge sale could be exacerbated by any delays in completion of the Long Ridge sale or termination of the Agreement.</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Common Stock</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market price and trading volume of our common stock may be volatile, which could result in rapid and substantial losses for our stockholders.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market price of our common stock may be highly volatile and could be subject to wide fluctuations. In addition, the trading volume in our common stock may fluctuate and cause significant price variations to occur. If the market price of our common stock declines significantly, you may be unable to resell your stock at or above your purchase price, if at all. The market price of our common stock may fluctuate or decline significantly in the future. Some of the factors that could negatively affect our stock price or result in fluctuations in the price or trading volume of our stock include: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shift in our investor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32740"/>
                <wp:effectExtent l="0" t="0" r="0" b="0"/>
                <wp:wrapNone/>
                <wp:docPr id="81" name="Frame8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our quarterly or annual earnings, or those of other comparable companies;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actual or anticipated fluctuations in our operating results;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changes in accounting standards, policies, guidance, interpretations or principles;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announcements by us or our competitors of significant investments, acquisitions or dispositions;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the failure of securities analysts to cover our common stock;</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changes in earnings estimates by securities analysts or our ability to meet those estimates;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the operating and share price performance of other comparable companies;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overall market fluctuations;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general economic conditions;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developments in the markets and market sectors in which we participate.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Stock markets in the United States have experienced extreme price and volume fluctuations. Market fluctuations, as well as general political and economic conditions, such as acts of terrorism, prolonged economic uncertainty, the potential for worsening economic conditions, economic downturn, a recession or interest rate or currency rate fluctuations, could adversely affect the market price of our common stock.</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An increase in market interest rates may have an adverse effect on the market price of our common stock.</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One of the factors that investors may consider in deciding whether to buy or sell our stock is our distribution rate as a percentage of our stock price relative to market interest rates. If the market price of our common stock is based primarily on the earnings and return that we derive from our investments and income with respect to our investments and our related distributions to stockholders, and not from the market value of the investments themselves, then interest rate fluctuations and capital market conditions will likely affect the market price of our common stock. For instance, if market interest rates rise without an increase in our distribution rate, the market price of our common stock could decrease, as potential investors may require a higher distribution yield on our stock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There can be no assurance that the market for our common stock will provide you with adequate liquidity.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can be no assurance that an active trading market for our common stock will develop or be sustained in the future, and the market price of our stock may fluctuate widely, depending upon many factors, some of which may be beyond our control. These factors include, without limitation: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shift in our investor base;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our quarterly or annual earnings and cash flows, or those of other comparable companies;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actual or anticipated fluctuations in our operating results;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changes in accounting standards, policies, guidance, interpretations or principles;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announcements by us or our competitors of significant investments, acquisitions, dispositions or other transactions;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the failure of securities analysts to cover our stock;</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changes in earnings estimates by securities analysts or our ability to meet those estimates;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market performance of affiliates and other counterparties with whom we conduct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the operating and stock price performance of other comparable companies;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our failure to maintain our exemption under the Investment Company Act or satisfy Nasdaq listing requirements;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negative public perception of us, our competitors or industry;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overall market fluctuations;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general economic conditions.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Stock markets in general have experienced volatility that has often been unrelated to the operating performance of a particular company. These broad market fluctuations may adversely affect the market price of our common stock.</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Failure to maintain effective internal control over financial reporting in accordance with Section 404 of the Sarbanes-Oxley Act of 2002 could have a material adverse effect on our business and stock price.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a public company, we are required to maintain effective internal control over financial reporting in accordance with Section 404 of the Sarbanes-Oxley Act of 2002. Internal control over financial reporting is complex and may be revised over time to adapt to changes in our business, or changes in applicable accounting rules. We may make investments through joint ventures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32740"/>
                <wp:effectExtent l="0" t="0" r="0" b="0"/>
                <wp:wrapNone/>
                <wp:docPr id="82" name="Frame8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accounting for such investments can increase the complexity of maintaining effective internal control over financial reporting.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may issue an adverse opinion as to the effectiveness of our internal control over financial reporting. Matters impacting our internal control over financial reporting may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Confidence in the reliability of our financial statements is also likely to suffer if we or our independent registered public accounting firm reports a material weakness in the effectiveness of our internal control over financial reporting. This could materially adversely affect us by, for example, leading to a decline in our stock price and impairing our ability to raise capital.</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Your percentage ownership in us may be diluted in the future.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Your percentage ownership in us may be diluted in the future because of equity awards that we expect will be granted to our Manager, to the directors, officers and employees of our Manager who perform services for us, and to our directors, officers and employees, as well as other equity instruments such as debt and equity financing, including, but not limited to, the Series B Preferred Stock, the Series I Warrants (as defined in Note 19 of the Company’s Annual Report on Form 10-K for the year ended December 31, 2025) and the Series A Warrants (as defined in Note 19 of the Company’s Annual Report on Form 10-K for the year ended December 31, 2025).</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August 1, 2022, our board of directors adopted the FTAI Infrastructure Inc. Nonqualified Stock Option and Incentive Award Plan (the “Incentive Plan”), which provides for the ability to grant compensation awards in the form of stock, options, stock appreciation rights, restricted stock, performance awards, manager awards, tandem awards, other stock-based awards (including restricted stock units) and non-stock-based awards, in each case to our Manager, to the directors, officers, employees, service providers, consultants and advisors of our Manager who perform services for us, and to our directors, officers, employees, service providers, consultants and advisors. We initially reserved 30,000,000 shares of our common stock for issuance under the Incentive Plan. On the date of any equity issuance by us during the ten-year term of the Incentive Plan, that number will be increased by a number of shares of our common stock equal to 10% of (i) the number of shares of our common stock newly issued by us in such equity issuance or (ii) if such equity issuance relates to equity securities other than our common stock, the number of shares of our common stock equal to the quotient obtained by dividing the gross capital raised in such equity issuance by the fair market value of a share of our common stock as of the date of such equity issuance (such quotient, the “Equity Security Factor”). The term of the Incentive Plan expires in 2032. For a more detailed description of the Incentive Plan, see “Management—FTAI Infrastructure Nonqualified Stock Option and Inventive Award Plan” in the Information Statement filed with the SEC on Form 8-K on July 15, 2022. Upon the successful completion of an equity offering by us, we will issue to our Manager (or an affiliate of our Manager), as compensation for our Manager’s role in raising capital for us, options to purchase shares of our common stock equal to up to 10% of (i) the aggregate number of shares of our common stock being issued in such offering or (ii) if such equity issuance relates to equity securities other than shares of our common stock, the number of shares of our common stock equal to the Equity Security Factor. In addition, the compensation committee of our board of directors has the authority to grant such other awards to our Manager as it deems advisable; provided that no such award may be granted to our Manager in connection with any issuance by us of equity securities in excess of 10% of (i) the maximum number of shares of our common stock then being issued or (ii) if such equity issuance relates to equity securities other than shares of our common stock, the maximum number of shares of our common stock determined in accordance with the Equity Security Factor.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Series B Redeemable Convertible Preferred Stock may be converted into a maximum of 22,237,370 shares of our common stock, subject to customary anti-dilution adjustments and assuming shareholder approval is not sought and obtained to issue additional shares. Furthermore, the Series I Warrants and the Series A Warrants represent the right to purchase 3,342,566 shares of common stock and 550,000 shares of common stock, respectively, at an exercise price of $10.00 per share, subject to customary anti-dilution adjustments.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common stock is subject to ownership and transfer restrictions intended to preserve our ability to use our net operating loss carryforwards and other tax attributes.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incurred and may also continue to incur significant net operating loss carryforwards and other tax attributes, the amount and availability of which are subject to certain qualifications, limitations, and uncertainties. Our certificate of incorporation imposes certain restrictions on the transferability and ownership of our common stock, preferred stock, and other interests treated as our “stock” (such stock and other interests, the “Corporation Securities,” such restrictions on transferability and ownership, the “Ownership Restrictions”) in order to reduce the possibility of an equity ownership shift that could result in limitations on our ability to utilize net operating loss carryforwards for U.S. federal income tax purposes. Any acquisition of Corporation Securities that results in a stockholder being in violation of these restrictions may not be valid.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Subject to certain exceptions (including with respect to Initial Substantial Stockholders, as defined in our certificate of incorporation), the Ownership Restrictions will restrict (i) any person or entity (including certain groups of persons) from directly or indirectly acquiring 4.8% or more of the outstanding Corporation Securities and (ii) the ability of any person or entity (including certain groups of persons) already owning, directly or indirectly, 4.8% or more of the Corporation Securities to increase their proportionate interest in, or to sell, the Corporation Securities. Any transferee receiving Corporation Securities that would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32740"/>
                <wp:effectExtent l="0" t="0" r="0" b="0"/>
                <wp:wrapNone/>
                <wp:docPr id="83" name="Frame8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 violation of the Ownership Restrictions will not be recognized as an FTAI Infrastructure stockholder or entitled to any rights of stockholders, including, without limitation, the right to vote and receive dividends or distributions, whether liquidating or otherwise, in each case, with respect to the Corporation Securities causing the violation. FTAI Infrastructure common stockholders whose ownership violates the Ownership Restrictions at the time of the spin-off will not be required to sell their FTAI Infrastructure common stock, but may be prevented from acquiring more Corporation Securities.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Ownership Restrictions will remain in effect until the earlier of (i) the date on which Section 382 of the Code is repealed, amended, or modified in such a way as to render the restrictions imposed by Section 382 of the Code no longer applicable to us or (ii) a determination by the board of directors that (1) an ownership change would not result in a substantial limitation on our ability to use our available net operating loss carryforwards and other tax attributes; (2) no significant value attributable to our available net operating loss carryforwards and other tax attributes would be preserved by continuing the transfer restrictions; or (3) it is not in our best interests to continue the Ownership Restrictions. The Ownership Restrictions may also be waived by the board of directors on a case-by-case basis. There is no assurance, however, that the Company will not experience a future ownership change under Section 382 that may significantly limit its ability to use its NOL carryforwards as a result of such a waiver or otherwise.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Ownership Restrictions described above could make it more difficult for a third party to acquire, or could discourage a third party from acquiring, a large block of our common stock. This may adversely affect the marketability of our common stock by discouraging existing or potential investors from acquiring our stock or additional shares of our stock. It is also possible that the transfer restrictions could delay or frustrate the removal of incumbent directors and could make more difficult a merger, tender offer or proxy contest involving us, or impede an attempt to acquire a significant or controlling interest in us, even if such events might be beneficial to us and our stockholders.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You are advised to carefully monitor your ownership of our common stock and consult your legal advisors to determine whether your ownership of our common stock violates the ownership restrictions that are in our certificate of incorporation.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incur or issue debt or issue equity, which may negatively affect the market price of our common stock.</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may in the future incur or issue debt or issue equity or equity-related securities. In the event of our liquidation, lenders and holders of our debt and holders of our preferred stock (if any) would receive a distribution of our available assets before common stockholders. Any future incurrence or issuance of debt would increase our interest cost and could adversely affect our results of operations and cash flows. We are not required to offer any additional equity securities to existing common stockholders on a preemptive basis. Therefore, additional issuances of common stock, directly or through convertible or exchangeable securities, warrants or options, including, but not limited to, the Series B Redeemable Convertible Preferred Stock, the Series I Warrants and the Series A Warrants, will dilute the holdings of our existing common stockholders and such issuances, or the perception of such issuances, may reduce the market price of our common stock. Any additional preferred stock issued by us would likely have, a preference on distribution payments, periodically or upon liquidation, which could eliminate or otherwise limit our ability to make distributions to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stockholders bear the risk that our future incurrence or issuance of debt or issuance of equity or equity-related securities will adversely affect the market price of our stock.</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Provisions of Delaware law, our certificate of incorporation and our bylaws, prevent or delay an acquisition of our company, which could decrease the market price of our common stock.</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Delaware law contains, and our certificate of incorporation and bylaws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classified board of directors with staggered three-year terms;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provisions regarding the election of directors, classes of directors, the term of office of directors and the filling of director vacancies;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provisions regarding corporate opportunity;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removal of directors only for cause and only with the affirmative vote of at least 80% of the then issued and outstanding shares of our capital stock entitled to vote in the election of directors;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our board of directors to determine the powers, preferences and rights of our preferred stock and to issue such preferred stock without stockholder approval;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advance notice requirements applicable to stockholders for director nominations and actions to be taken at annual meetings;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prohibition will be in our certificate of incorporation that states that directors will be elected by plurality vote, a provision which means that the holders of a majority of the issued and outstanding shares of common stock can elect all the directors standing for election;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32740"/>
                <wp:effectExtent l="0" t="0" r="0" b="0"/>
                <wp:wrapNone/>
                <wp:docPr id="84" name="Frame8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requirement in our bylaws specifically denying the ability of our stockholders to consent in writing to take any action in lieu of taking such action at a duly called annual or special meeting of our stockholders;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our Corporation Securities are subject to ownership and transfer restrictions in order to reduce the possibility of an equity ownership shift that could result in limitations on our ability to utilize net operating loss carryforwards for U.S. federal income tax purposes.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Public stockholders who might desire to participate in these types of transactions may not have an opportunity to do so, even if the transaction is considered favorable to stockholders. These anti-takeover provisions could substantially impede the ability of public stockholders to benefit from a change in control or a change in our management and board of directors and, as a result, may adversely affect the market price of our common stock and your ability to realize any potential change of control premium.</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bylaws contain exclusive forum provisions for certain claims, which could limit our stockholders’ ability to obtain a favorable judicial forum for disputes with us or our directors, officers or employees.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bylaws, to the fullest extent permitted by law, provide that, unless we consent in writing to the selection of an alternative forum, the Court of Chancery of the State of Delaware will be the sole and exclusive forum for (i) any derivative action or proceeding brought on behalf of us; (ii) any action asserting a claim of breach of a duty (including any fiduciary duty) owed by any of our current or former directors, officers or employees to us or our stockholders; (iii) any action asserting a claim against us or any of our current or former directors, officers, stockholders, employees or agents arising out of or relating to any provision of the DGCL or our certificate of incorporation or our bylaws; or (iv)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Exchange Act, or rules and regulations thereunder.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Section 22 of the Securities Act creates concurrent jurisdiction for federal and state courts over all claims brought to enforce any duty or liability created by the Securities Act or the rules and regulations thereunder and our bylaws will provide that the federal district courts of the United States of America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Section 27 of the Exchange Act creates exclusive federal jurisdiction over all claims brought to enforce any duty or liability created by the Exchange Act or the rules and regulations thereunder and our bylaws will provide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Any person or entity purchasing or otherwise acquiring or holding any interest in any of our securities shall be deemed to have notice of and consented to our exclusive forum provisions, including the federal forum provision; provided, however, that stockholders will not be deemed to have waived our compliance with the federal securities laws and the rules and regulations thereunder.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While we currently pay regular quarterly dividends to our stockholders, we may change our dividend policy at any time.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Although we currently pay regular quarterly dividends to holders of our common stock, we may change our dividend policy at any time. Our net cash provided by operating activities could be less than the amount of distributions to our stockholders. The declaration and payment of dividends to holders of our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limitations under our contractual agreements, including the agreements governing certain of our debt financings, our taxable income, our operating expenses and other factors our board of directors deem relevant. There can be no assurance that we will continue to pay dividends in amounts or on a basis consistent with prior distributions to our investors, if at all. Furthermore, our net cash provided by operating activities could be less than the amount of distributions to our stockholders.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32740"/>
                <wp:effectExtent l="0" t="0" r="0" b="0"/>
                <wp:wrapNone/>
                <wp:docPr id="85" name="Frame8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As a public company, we will incur additional costs and face increased demands on our management.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an independent public company with shares listed on Nasdaq, we need to comply with an extensive body of regulations that did not apply to us previously, including certain provisions of the Sarbanes-Oxley Act, the Dodd-Frank Wall Street Reform and Consumer Protection Act, regulations of the SEC and requirements of Nasdaq. These rules and regulations will increase our legal and financial compliance costs and make some activities more time-consuming and costly. For example, as a result of becoming a public company, we must have independent directors and board committees.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securities or industry analysts do not publish research or reports about our business, or if they downgrade their recommendations regarding our common stock, our stock price and trading volume could decline.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trading market for our common stock will be influenced by the research and reports that industry or securities analysts publish about us or our business. If any of the analysts who may cover us downgrades our common stock or publishes inaccurate or unfavorable research about our business, our common stock price may decline. If analysts cease coverage of us or fail to regularly publish reports on us, we could lose visibility in the financial markets, which in turn could cause our common stock price or trading volume to decline and our common stock to be less liquid.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determination of how much leverage to use to finance our acquisitions may adversely affect our return on our assets and may reduce funds available for distribution.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may be significantly reduced due to changes in market conditions, which may cause the cost of our financing to increase relative to the income that can be derived from our assets.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Non-U.S. persons that hold or have held (actually or constructively) more than 5% of our common stock may be subject to U.S. federal income tax upon the disposition of some or all of their stock.</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a non-U.S. person has held (actually or constructively) more than 5% of our common stock at any time within the shorter of the five-year period ending on the date of a sale, exchange, or other taxable disposition of our stock or the period that such non-U.S. person held our stock, and we were considered a “USRPHC” at any time during such period because of our current or previous ownership of U.S. real property interests above a certain threshold, such non-U.S. person may be subject to U.S. tax on such disposition of such stock (and may have a U.S. tax return filing obligation). A corporation generally is a USRPHC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We believe that we are and are likely to remain a USRPHC. If a non-U.S. person is subject to U.S. tax as described above, gain recognized on the disposition of our common stock generally will be subject to U.S. federal income tax on a net income basis in the same manner as if the non-U.S. person were a U.S. person. In addition, if we are a USRPHC and our common stock ceased to be treated as “regularly traded on an established securities market,” a non-U.S. person would generally be subject to tax in the manner described in the preceding sentence regardless of what percentage of our common stock it owned, and the transferee in any disposition would generally be required to withhold 15% of the amount realized on the disposition. Non-U.S. stockholders are urged to consult their tax advisors regarding the tax consequences of an investment in our stock.</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Changes to United States federal income tax laws could materially and adversely affect us and our stockholders.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present United States federal income tax laws may be modified, possibly with retroactive effect, by legislative, judicial, or administrative action at any time, which could affect the United States federal income tax treatment of us or an investment in our common stock. The United States federal income tax rules are constantly under review by persons involved in the legislative process, the Internal Revenue Service, and the United States Treasury Department, which results in statutory changes as well as frequent revisions to regulations and interpretations. We cannot predict how changes in the tax laws might affect us and our stockholders.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experienced an “ownership change” for purposes of Section 382 of the Code, which limits our ability to utilize our net operating loss and certain other tax attributes to reduce our future taxable income.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Although we currently have significant tax attributes, including significant net operating losses, our use of those attributes is subject to significant limitations as a result of the fact that we believe we underwent an “ownership change” for purposes of Section 382 of the Code in the first half of 2025. Specifically, Section 382 of the Code imposes an annual limitation on the ability of a company that undergoes an “ownership change” to utilize its net operating loss and certain built-in losses to offset taxable income earned in years after the ownership change. The Code also contains other limitations on the use of net operating losses and other tax attributes, which may impact our ability to utilize such losses and attributes. As a result of the Section 382 limitation and potentially other limitations or changes in circumstances, our use of our tax attributes may be significantly delayed, and we may not be able to use all of those attributes, potentially harming our future operating results by effectively increasing our future U.S. federal income tax obligations. In addition, we may be subject to similar or other limitations under state, local or other tax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32740"/>
                <wp:effectExtent l="0" t="0" r="0" b="0"/>
                <wp:wrapNone/>
                <wp:docPr id="86" name="Frame8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6EBF"/>
          <w:sz w:val="20"/>
        </w:rPr>
      </w:pPr>
      <w:r>
        <w:rPr>
          <w:rFonts w:ascii="Arial;sans-serif" w:hAnsi="Arial;sans-serif"/>
          <w:b/>
          <w:color w:val="006EBF"/>
          <w:sz w:val="20"/>
        </w:rPr>
        <w:t>Item 2. Unregistered Sales of Equity Securities and Use of Proceeds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6EBF"/>
          <w:sz w:val="20"/>
        </w:rPr>
      </w:pPr>
      <w:r>
        <w:rPr>
          <w:rFonts w:ascii="Arial;sans-serif" w:hAnsi="Arial;sans-serif"/>
          <w:b/>
          <w:color w:val="006EBF"/>
          <w:sz w:val="20"/>
        </w:rPr>
        <w:t>Item 3. Defaults Upon Senior Securities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6EBF"/>
          <w:sz w:val="20"/>
        </w:rPr>
      </w:pPr>
      <w:r>
        <w:rPr>
          <w:rFonts w:ascii="Arial;sans-serif" w:hAnsi="Arial;sans-serif"/>
          <w:b/>
          <w:color w:val="006EBF"/>
          <w:sz w:val="20"/>
        </w:rPr>
        <w:t>Item 4. Mine Safety Disclosures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6EBF"/>
          <w:sz w:val="20"/>
        </w:rPr>
      </w:pPr>
      <w:r>
        <w:rPr>
          <w:rFonts w:ascii="Arial;sans-serif" w:hAnsi="Arial;sans-serif"/>
          <w:b/>
          <w:color w:val="006EBF"/>
          <w:sz w:val="20"/>
        </w:rPr>
        <w:t>Item 5. Other Information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32740"/>
                <wp:effectExtent l="0" t="0" r="0" b="0"/>
                <wp:wrapNone/>
                <wp:docPr id="87" name="Frame8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6EBF"/>
          <w:sz w:val="20"/>
        </w:rPr>
      </w:pPr>
      <w:r>
        <w:rPr>
          <w:rFonts w:ascii="Arial;sans-serif" w:hAnsi="Arial;sans-serif"/>
          <w:b/>
          <w:color w:val="006EBF"/>
          <w:sz w:val="20"/>
        </w:rPr>
        <w:t>Item 6.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5"/>
        <w:gridCol w:w="325"/>
        <w:gridCol w:w="326"/>
        <w:gridCol w:w="109"/>
        <w:gridCol w:w="109"/>
        <w:gridCol w:w="109"/>
        <w:gridCol w:w="2507"/>
        <w:gridCol w:w="2495"/>
        <w:gridCol w:w="35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35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9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Arial;sans-serif" w:hAnsi="Arial;sans-serif"/>
                  <w:b w:val="false"/>
                  <w:color w:val="0000FF"/>
                  <w:sz w:val="16"/>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Separation and Distribution Agreement, dated as of August 1, 2022, between FTAI Infrastructure Inc. and Fortress Transportation and Infrastructure Investors LLC (incorporated by reference to Exhibit 2.1 of the Company’s Current Report on Form 8-K, filed August 1,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Arial;sans-serif" w:hAnsi="Arial;sans-serif"/>
                  <w:b w:val="false"/>
                  <w:color w:val="0000FF"/>
                  <w:sz w:val="16"/>
                  <w:u w:val="single"/>
                </w:rPr>
                <w:t>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Purchase Agreement, dated as of February 26, 2025, by and among FTAI Infrastructure Inc., Ohio River Partners Holdco LLC and Long Ridge Energy &amp; Power LLC, and Labor Impact Fund, L.P., Labor Impact Feeder Fund, L.P., Labor Impact Real Estate (Cayman) Holdings, L.P. and LIF LR Holdings LLC (incorporated by reference to Exhibit 2.1 of the Company’s Current Report on Form 8-K, filed February 27, 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Arial;sans-serif" w:hAnsi="Arial;sans-serif"/>
                  <w:b w:val="false"/>
                  <w:color w:val="0000FF"/>
                  <w:sz w:val="16"/>
                  <w:u w:val="single"/>
                </w:rPr>
                <w:t>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Stock Purchase Agreement, dated as of August 6, 2025, between Percy Acquisition LLC and WLE Management Partners, L.P. (incorporated by reference to Exhibit 10.1 of the Company’s Current Report on Form 8-K, filed August 6,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Arial;sans-serif" w:hAnsi="Arial;sans-serif"/>
                  <w:b w:val="false"/>
                  <w:color w:val="0000FF"/>
                  <w:sz w:val="16"/>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Certificate of Conversion (incorporated by reference to Exhibit 3.1 of the Company’s Current Report on Form 8-K, filed August 1,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7">
              <w:r>
                <w:rPr>
                  <w:rStyle w:val="InternetLink"/>
                  <w:rFonts w:ascii="Arial;sans-serif" w:hAnsi="Arial;sans-serif"/>
                  <w:b w:val="false"/>
                  <w:color w:val="0000FF"/>
                  <w:sz w:val="16"/>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Amended and Restated Certificate of Incorporation of FTAI Infrastructure Inc. (incorporated by reference to Exhibit 3.2 of the Company’s Current Report on Form 8-K, filed August 1,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8">
              <w:r>
                <w:rPr>
                  <w:rStyle w:val="InternetLink"/>
                  <w:rFonts w:ascii="Arial;sans-serif" w:hAnsi="Arial;sans-serif"/>
                  <w:b w:val="false"/>
                  <w:color w:val="0000FF"/>
                  <w:sz w:val="16"/>
                  <w:u w:val="single"/>
                </w:rPr>
                <w:t>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Amended and Restated Bylaws of FTAI Infrastructure Inc. (incorporated by reference to Exhibit 3.3 of the Company’s Current Report on Form 8-K, filed August 1,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9">
              <w:r>
                <w:rPr>
                  <w:rStyle w:val="InternetLink"/>
                  <w:rFonts w:ascii="Arial;sans-serif" w:hAnsi="Arial;sans-serif"/>
                  <w:b w:val="false"/>
                  <w:color w:val="0000FF"/>
                  <w:sz w:val="16"/>
                  <w:u w:val="single"/>
                </w:rPr>
                <w:t>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Certificate of Designations of Series B Convertible Junior Preferred Stock of FTAI Infrastructure Inc., dated as of February 26, 2025 (incorporated by reference to Exhibit 3.2 of the Company’s Current Report on Form 8-K, filed February 27,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0">
              <w:r>
                <w:rPr>
                  <w:rStyle w:val="InternetLink"/>
                  <w:rFonts w:ascii="Arial;sans-serif" w:hAnsi="Arial;sans-serif"/>
                  <w:b w:val="false"/>
                  <w:color w:val="0000FF"/>
                  <w:sz w:val="16"/>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Description of Securities Registered under Section 12 of the Exchange Act (incorporated by reference to Exhibit 4.5 of the Company’s Annual Report on Form 10-K, filed March 16, 2026).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1">
              <w:r>
                <w:rPr>
                  <w:rStyle w:val="InternetLink"/>
                  <w:rFonts w:ascii="Arial;sans-serif" w:hAnsi="Arial;sans-serif"/>
                  <w:b w:val="false"/>
                  <w:color w:val="0000FF"/>
                  <w:sz w:val="16"/>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Indenture, dated as of February 19, 2025, among Long Ridge Energy LLC, Long Ridge Energy Generation LLC, Ohio GasCo LLC and U.S. Bank Trust Company, National Association, as trustee and collateral agent (incorporated by reference to Exhibit 4.1 of the Company’s Current Report on Form 8-K, filed February 25,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2">
              <w:r>
                <w:rPr>
                  <w:rStyle w:val="InternetLink"/>
                  <w:rFonts w:ascii="Arial;sans-serif" w:hAnsi="Arial;sans-serif"/>
                  <w:b w:val="false"/>
                  <w:color w:val="0000FF"/>
                  <w:sz w:val="16"/>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Form of 8.750% Senior Secured Notes due 2032 (incorporated by reference to Exhibit 4.2 of the Company’s Current Report on Form 8-K, filed February 25, 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3">
              <w:r>
                <w:rPr>
                  <w:rStyle w:val="InternetLink"/>
                  <w:rFonts w:ascii="Arial;sans-serif" w:hAnsi="Arial;sans-serif"/>
                  <w:b w:val="false"/>
                  <w:color w:val="0000FF"/>
                  <w:sz w:val="16"/>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Amended and Restated Management and Advisory Agreement, dated as of July 31, 2022, between FTAI Infrastructure Inc. and FIG LLC (incorporated by reference to Exhibit 10.1 of the Company’s Current Report on Form 8-K, filed August 1,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4">
              <w:r>
                <w:rPr>
                  <w:rStyle w:val="InternetLink"/>
                  <w:rFonts w:ascii="Arial;sans-serif" w:hAnsi="Arial;sans-serif"/>
                  <w:b w:val="false"/>
                  <w:color w:val="0000FF"/>
                  <w:sz w:val="16"/>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Form of Indemnification Agreement by and between FTAI Infrastructure Inc. and its directors and officers (incorporated by reference to Exhibit 10.8 of the Company’s Current Report on Form 8-K, filed August 1,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5">
              <w:r>
                <w:rPr>
                  <w:rStyle w:val="InternetLink"/>
                  <w:rFonts w:ascii="Arial;sans-serif" w:hAnsi="Arial;sans-serif"/>
                  <w:b w:val="false"/>
                  <w:color w:val="0000FF"/>
                  <w:sz w:val="16"/>
                  <w:u w:val="single"/>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FTAI Infrastructure Inc. Nonqualified Stock Option and Incentive Award Plan (incorporated by reference to Exhibit 10.4 of the Company’s Current Report on Form 8-K, filed August 1,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6">
              <w:r>
                <w:rPr>
                  <w:rStyle w:val="InternetLink"/>
                  <w:rFonts w:ascii="Arial;sans-serif" w:hAnsi="Arial;sans-serif"/>
                  <w:b w:val="false"/>
                  <w:color w:val="0000FF"/>
                  <w:sz w:val="16"/>
                  <w:u w:val="single"/>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Form of Award Agreement pursuant to the FTAI Infrastructure Inc. Nonqualified Stock Option and Incentive Award Plan (incorporated by reference to Exhibit 10.4 of the Company’s Registration Statement on Form 10, filed April 29,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7">
              <w:r>
                <w:rPr>
                  <w:rStyle w:val="InternetLink"/>
                  <w:rFonts w:ascii="Arial;sans-serif" w:hAnsi="Arial;sans-serif"/>
                  <w:b w:val="false"/>
                  <w:color w:val="0000FF"/>
                  <w:sz w:val="16"/>
                  <w:u w:val="single"/>
                </w:rPr>
                <w:t>10.5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Form of Director Award Agreement pursuant to the FTAI Infrastructure Inc. Nonqualified Stock Option and Incentive Plan (incorporated by reference to Exhibit 10.5 of the Company’s Registration Statement on Form 10, filed April 29,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8">
              <w:r>
                <w:rPr>
                  <w:rStyle w:val="InternetLink"/>
                  <w:rFonts w:ascii="Arial;sans-serif" w:hAnsi="Arial;sans-serif"/>
                  <w:b w:val="false"/>
                  <w:color w:val="0000FF"/>
                  <w:sz w:val="16"/>
                  <w:u w:val="single"/>
                </w:rPr>
                <w:t>10.6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Registration Rights Agreement, dated as of August 1, 2022, between FTAI Infrastructure Inc., FIG LLC and Fortress Worldwide Transportation and Infrastructure Master GP LLC (incorporated by reference to Exhibit 10.2 of the Company’s Current Report on Form 8-K, filed August 1,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9">
              <w:r>
                <w:rPr>
                  <w:rStyle w:val="InternetLink"/>
                  <w:rFonts w:ascii="Arial;sans-serif" w:hAnsi="Arial;sans-serif"/>
                  <w:b w:val="false"/>
                  <w:color w:val="0000FF"/>
                  <w:sz w:val="16"/>
                  <w:u w:val="single"/>
                </w:rPr>
                <w:t>10.7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Engineering, Procuring and Construction Agreement dated as of February 15, 2019, between Long Ridge Energy Generation LLC and Kiewit Power Constructors Co. (incorporated by reference to Exhibit 10.17 of Fortress Transportation and Infrastructure Investors LLC’s Quarterly Report on Form 10-Q, filed on May 3, 2019).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0">
              <w:r>
                <w:rPr>
                  <w:rStyle w:val="InternetLink"/>
                  <w:rFonts w:ascii="Arial;sans-serif" w:hAnsi="Arial;sans-serif"/>
                  <w:b w:val="false"/>
                  <w:color w:val="0000FF"/>
                  <w:sz w:val="16"/>
                  <w:u w:val="single"/>
                </w:rPr>
                <w:t>10.8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Purchase and Sale of Power Generation Equipment and Related Services Agreement dated as of February 15, 2019, between Long Ridge Energy Generation LLC and General Electric Company (incorporated by reference to Exhibit 10.18 of Fortress Transportation and Infrastructure Investors LLC's Quarterly Report on Form 10-Q, filed on May 3, 2019).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1">
              <w:r>
                <w:rPr>
                  <w:rStyle w:val="InternetLink"/>
                  <w:rFonts w:ascii="Arial;sans-serif" w:hAnsi="Arial;sans-serif"/>
                  <w:b w:val="false"/>
                  <w:color w:val="0000FF"/>
                  <w:sz w:val="16"/>
                  <w:u w:val="single"/>
                </w:rPr>
                <w:t>10.9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Second Amended and Restated Senior Loan Agreement, dated as of June 1, 2024 and effective as of June 20, 2024, between Jefferson 2020 Bond Borrower LLC and Port of Beaumont Navigation District of Jefferson County, Texas (incorporated by reference to Exhibit 10.1 of the Company’s Current Report on Form 8-K, filed June 20, 2024).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2">
              <w:r>
                <w:rPr>
                  <w:rStyle w:val="InternetLink"/>
                  <w:rFonts w:ascii="Arial;sans-serif" w:hAnsi="Arial;sans-serif"/>
                  <w:b w:val="false"/>
                  <w:color w:val="0000FF"/>
                  <w:sz w:val="16"/>
                  <w:u w:val="single"/>
                </w:rPr>
                <w:t>10.10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16"/>
              </w:rPr>
            </w:pPr>
            <w:r>
              <w:rPr>
                <w:rFonts w:ascii="Arial;sans-serif" w:hAnsi="Arial;sans-serif"/>
                <w:b w:val="false"/>
                <w:color w:val="000000"/>
                <w:sz w:val="16"/>
              </w:rPr>
              <w:t>Deed of Trust, Security Agreement, Financing Statement and Fixture Filing, dated February 1, 2020, from Jefferson 2020 Bond Borrower LLC, as grantor, and Jefferson 2020 Bond Lessee LLC, as grantor, to Ken N. Whitlow, as Deed of Trust Trustee for the benefit of Deutsche Bank National Trust Company, as beneficiary (incorporated by reference to Exhibit 10.17 of Fortress Transportation and Infrastructure Investors LLC’s Quarterly Report on Form 10-Q, filed on May 1, 2020).</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3">
              <w:r>
                <w:rPr>
                  <w:rStyle w:val="InternetLink"/>
                  <w:rFonts w:ascii="Arial;sans-serif" w:hAnsi="Arial;sans-serif"/>
                  <w:b w:val="false"/>
                  <w:color w:val="0000FF"/>
                  <w:sz w:val="16"/>
                  <w:u w:val="single"/>
                </w:rPr>
                <w:t>10.11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16"/>
              </w:rPr>
            </w:pPr>
            <w:r>
              <w:rPr>
                <w:rFonts w:ascii="Arial;sans-serif" w:hAnsi="Arial;sans-serif"/>
                <w:b w:val="false"/>
                <w:color w:val="000000"/>
                <w:sz w:val="16"/>
              </w:rPr>
              <w:t>Amended and Restated Lease and Development Agreement, effective as of January 1, 2020, by and between Port of Beaumont Navigation District of Jefferson County, Texas, as lessor, and Jefferson 2020 Bond Lessee LLC, as lessee (incorporated by reference to Exhibit 10.18 of Fortress Transportation and Infrastructure Investors LLC’s Quarterly Report on Form 10-Q, filed on May 1, 2020).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4">
              <w:r>
                <w:rPr>
                  <w:rStyle w:val="InternetLink"/>
                  <w:rFonts w:ascii="Arial;sans-serif" w:hAnsi="Arial;sans-serif"/>
                  <w:b w:val="false"/>
                  <w:color w:val="0000FF"/>
                  <w:sz w:val="16"/>
                  <w:u w:val="single"/>
                </w:rPr>
                <w:t>10.12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Facilities Lease and Development Agreement, dated as of June 1, 2024 and effective as of June 20, 2024, between Jefferson 2020 Bond Lessee LLC and Port of Beaumont Navigation District of Jefferson County, Texas (incorporated by reference to Exhibit 10.2 of the Company’s Current Report on Form 8-K, filed June 20, 2024).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5">
              <w:r>
                <w:rPr>
                  <w:rStyle w:val="InternetLink"/>
                  <w:rFonts w:ascii="Arial;sans-serif" w:hAnsi="Arial;sans-serif"/>
                  <w:b w:val="false"/>
                  <w:color w:val="0000FF"/>
                  <w:sz w:val="16"/>
                  <w:u w:val="single"/>
                </w:rPr>
                <w:t>10.13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Deed of Trust, Security Agreement, Financing Statement and Fixture Filing (JTS Port Property), dated as of June 20, 2024, executed and delivered by Jefferson 2020 Bond Lessee LLC and Jefferson 2020 Bond Borrower LLC, in favor of the trustee named therein for the benefit of the Collateral Agent on behalf of the owners of the Securities (incorporated by reference to Exhibit 10.3 of the Company’s Current Report on Form 8-K, filed June 20, 2024).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6">
              <w:r>
                <w:rPr>
                  <w:rStyle w:val="InternetLink"/>
                  <w:rFonts w:ascii="Arial;sans-serif" w:hAnsi="Arial;sans-serif"/>
                  <w:b w:val="false"/>
                  <w:color w:val="0000FF"/>
                  <w:sz w:val="16"/>
                  <w:u w:val="single"/>
                </w:rPr>
                <w:t>10.14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Membership Interest Purchase Agreement, dated June 7, 2021, by and between United States Steel Corporation and Percy Acquisition LLC (incorporated by reference to Exhibit 10.1 of Fortress Transportation and Infrastructure Investors LLC’s Current Report on Form 8-K, filed on June 8,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32740"/>
                <wp:effectExtent l="0" t="0" r="0" b="0"/>
                <wp:wrapNone/>
                <wp:docPr id="88" name="Frame8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25"/>
        <w:gridCol w:w="325"/>
        <w:gridCol w:w="326"/>
        <w:gridCol w:w="109"/>
        <w:gridCol w:w="109"/>
        <w:gridCol w:w="109"/>
        <w:gridCol w:w="2574"/>
        <w:gridCol w:w="2468"/>
        <w:gridCol w:w="35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35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7">
              <w:r>
                <w:rPr>
                  <w:rStyle w:val="InternetLink"/>
                  <w:rFonts w:ascii="Arial;sans-serif" w:hAnsi="Arial;sans-serif"/>
                  <w:b w:val="false"/>
                  <w:color w:val="0000FF"/>
                  <w:sz w:val="16"/>
                  <w:u w:val="single"/>
                </w:rPr>
                <w:t>10.15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Railway Services Agreement, dated July 28, 2021, by and among United States Steel Corporation, Transtar, LLC, Delray Connecting Railroad Company, Fairfield Southern Company, Inc., Gary Railway Company, Lake Terminal Railroad Company, Texas &amp; Northern Railroad Company and Union Railroad Company, LLC (incorporated by reference to Exhibit 10.22 of Fortress Transportation and Infrastructure Investors LLC’s Quarterly Report on Form 10-Q, filed on July 29, 2021).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8">
              <w:r>
                <w:rPr>
                  <w:rStyle w:val="InternetLink"/>
                  <w:rFonts w:ascii="Arial;sans-serif" w:hAnsi="Arial;sans-serif"/>
                  <w:b w:val="false"/>
                  <w:color w:val="0000FF"/>
                  <w:sz w:val="16"/>
                  <w:u w:val="single"/>
                </w:rPr>
                <w:t>10.16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Form of Subscription Agreement (incorporated by reference to Exhibit 10.17 of Amendment No. 2 to the Company’s Registration Statement on Form 10, filed July 1,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9">
              <w:r>
                <w:rPr>
                  <w:rStyle w:val="InternetLink"/>
                  <w:rFonts w:ascii="Arial;sans-serif" w:hAnsi="Arial;sans-serif"/>
                  <w:b w:val="false"/>
                  <w:color w:val="0000FF"/>
                  <w:sz w:val="16"/>
                  <w:u w:val="single"/>
                </w:rPr>
                <w:t>10.17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Investor Rights Agreement, dated August 1, 2022, between FTAI Infrastructure Inc. and the parties listed thereto (incorporated by reference to Exhibit 10.6 of the Company’s Current Report on Form 8-K, filed August 1,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0">
              <w:r>
                <w:rPr>
                  <w:rStyle w:val="InternetLink"/>
                  <w:rFonts w:ascii="Arial;sans-serif" w:hAnsi="Arial;sans-serif"/>
                  <w:b w:val="false"/>
                  <w:color w:val="0000FF"/>
                  <w:sz w:val="16"/>
                  <w:u w:val="single"/>
                </w:rPr>
                <w:t>10.18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Warrant Agreement, dated August 1, 2022, between FTAI Infrastructure Inc. and American Stock Transfer &amp; Trust Company, LLC, as warrant agent (incorporated by reference to Exhibit 10.5 of the Company’s Current Report on Form 8-K, filed August 1,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1">
              <w:r>
                <w:rPr>
                  <w:rStyle w:val="InternetLink"/>
                  <w:rFonts w:ascii="Arial;sans-serif" w:hAnsi="Arial;sans-serif"/>
                  <w:b w:val="false"/>
                  <w:color w:val="0000FF"/>
                  <w:sz w:val="16"/>
                  <w:u w:val="single"/>
                </w:rPr>
                <w:t>10.19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Trademark License Agreement, dated as of August 1, 2022, between Fortress Transportation and Infrastructure Investors LLC and FTAI Infrastructure Inc. (incorporated by reference to Exhibit 10.3 of the Company’s Current Report on Form 8-K, filed August 1,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2">
              <w:r>
                <w:rPr>
                  <w:rStyle w:val="InternetLink"/>
                  <w:rFonts w:ascii="Arial;sans-serif" w:hAnsi="Arial;sans-serif"/>
                  <w:b w:val="false"/>
                  <w:color w:val="0000FF"/>
                  <w:sz w:val="16"/>
                  <w:u w:val="single"/>
                </w:rPr>
                <w:t>10.20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Form of Letter sent to FTAI’s option holders describing the equitable adjustment to FTAI’s options (incorporated by reference to Exhibit 10.7 of the Company’s Current Report on Form 8-K, filed August 1,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3">
              <w:r>
                <w:rPr>
                  <w:rStyle w:val="InternetLink"/>
                  <w:rFonts w:ascii="Arial;sans-serif" w:hAnsi="Arial;sans-serif"/>
                  <w:b w:val="false"/>
                  <w:color w:val="0000FF"/>
                  <w:sz w:val="16"/>
                  <w:u w:val="single"/>
                </w:rPr>
                <w:t>10.21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Investor Rights Agreement, dated as of February 26, 2025, by and among FTAI Infrastructure Inc., Labor Impact Fund, L.P., LIF AIV 1, L.P., Labor Impact Feeder Fund, L.P. and Labor Impact Real Estate (Cayman) Holdings, L.P (incorporated by reference to Exhibit 10.1 of the Company’s Current Report on Form 8-K, filed February 27,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4">
              <w:r>
                <w:rPr>
                  <w:rStyle w:val="InternetLink"/>
                  <w:rFonts w:ascii="Arial;sans-serif" w:hAnsi="Arial;sans-serif"/>
                  <w:b w:val="false"/>
                  <w:color w:val="0000FF"/>
                  <w:sz w:val="16"/>
                  <w:u w:val="single"/>
                </w:rPr>
                <w:t>10.22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Amended and Restated Warrant Agreement, dated as of February 26, 2025, by and between FTAI Infrastructure Inc. and Equiniti Trust Company, LLC (f/k/a American Stock Transfer &amp; Trust Company, LLC) (incorporated by reference to Exhibit 10.2 of the Company’s Current Report on Form 8-K, filed February 27, 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5">
              <w:r>
                <w:rPr>
                  <w:rStyle w:val="InternetLink"/>
                  <w:rFonts w:ascii="Arial;sans-serif" w:hAnsi="Arial;sans-serif"/>
                  <w:b w:val="false"/>
                  <w:color w:val="0000FF"/>
                  <w:sz w:val="16"/>
                  <w:u w:val="single"/>
                </w:rPr>
                <w:t>10.23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Credit Agreement, dated as of February 19, 2025, among Long Ridge Energy LLC, Long Ridge Energy Generation LLC, Ohio GasCo LC, Citizens Bank, N.A., as Administrative Agent, U.S. Bank Trust Company, National Association, as collateral agent, Morgan Stanley Senior Funding, Inc., as sole lead arranger and bookrunner, and the various lenders party thereto (incorporated by reference to Exhibit 10.1 of the Company’s Current Report on Form 8-K, filed February 25,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6">
              <w:r>
                <w:rPr>
                  <w:rStyle w:val="InternetLink"/>
                  <w:rFonts w:ascii="Arial;sans-serif" w:hAnsi="Arial;sans-serif"/>
                  <w:b w:val="false"/>
                  <w:color w:val="0000FF"/>
                  <w:sz w:val="16"/>
                  <w:u w:val="single"/>
                </w:rPr>
                <w:t>10.24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Collateral Agency, Intercreditor and Accounts Agreement, dated as of May 28, 2025, by and among DRP Urban Renewal 4, LLC, Delaware River Partners LLC, the other Repauno Entities (as defined therein), Repauno Financing Holdco LLC, UMB Bank, N.A., and Deutsche Bank Trust Company Americas (incorporated by reference to Exhibit 10.1 of the Company’s Current Report on Form 8-K, filed June 3, 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7">
              <w:r>
                <w:rPr>
                  <w:rStyle w:val="InternetLink"/>
                  <w:rFonts w:ascii="Arial;sans-serif" w:hAnsi="Arial;sans-serif"/>
                  <w:b w:val="false"/>
                  <w:color w:val="0000FF"/>
                  <w:sz w:val="16"/>
                  <w:u w:val="single"/>
                </w:rPr>
                <w:t>10.25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Lease Agreement, dated as of May 28, 2025, by and between DRP Urban Renewal 4, LLC and the New Jersey Economic Development Authority (incorporated by reference to Exhibit 10.2 of the Company’s Current Report on Form 8-K, filed June 3,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8">
              <w:r>
                <w:rPr>
                  <w:rStyle w:val="InternetLink"/>
                  <w:rFonts w:ascii="Arial;sans-serif" w:hAnsi="Arial;sans-serif"/>
                  <w:b w:val="false"/>
                  <w:color w:val="0000FF"/>
                  <w:sz w:val="16"/>
                  <w:u w:val="single"/>
                </w:rPr>
                <w:t>10.26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Mortgage, Assignment of Leases and Rents, Security Agreement and Fixture Filing, dated as of May 28, 2025, executed and delivered by DRP Urban Renewal 4, LLC, Delaware River Partners LLC, and the other Grantors (as defined therein) in favor of the collateral agent named therein for the behalf of the owners of the Series 2025 Bonds (incorporated by reference to Exhibit 10.3 of the Company’s Current Report on Form 8-K, filed June 3, 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9">
              <w:r>
                <w:rPr>
                  <w:rStyle w:val="InternetLink"/>
                  <w:rFonts w:ascii="Arial;sans-serif" w:hAnsi="Arial;sans-serif"/>
                  <w:b w:val="false"/>
                  <w:color w:val="0000FF"/>
                  <w:sz w:val="16"/>
                  <w:u w:val="single"/>
                </w:rPr>
                <w:t>10.27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Senior Secured Credit Agreement, dated as of May 28, 2025, by and among DRP Urban Renewal 4, LLC, Delaware River Partners LLC, Deutsche Bank Company Americas, Deutsche Bank AG, New York Branch, and the several lenders party from time to time thereto (incorporated by reference to Exhibit 10.4 of the Company’s Current Report on Form 8-K, filed June 3,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40">
              <w:r>
                <w:rPr>
                  <w:rStyle w:val="InternetLink"/>
                  <w:rFonts w:ascii="Arial;sans-serif" w:hAnsi="Arial;sans-serif"/>
                  <w:b w:val="false"/>
                  <w:color w:val="0000FF"/>
                  <w:sz w:val="16"/>
                  <w:u w:val="single"/>
                </w:rPr>
                <w:t>10.28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Amended and Restated Limited Liability Company Agreement of FIP RR Holdings LLC, dated as of August 25, 2025, by and among FIP RR Holdings LLC, FTAI Infrastructure Inc. (solely with respect to Section 2.3(c) and Section 12.21) and the other parties thereto (incorporated by reference to Exhibit 10.2 of the Company’s Current Report on Form 8-K, filed August 25, 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41">
              <w:r>
                <w:rPr>
                  <w:rStyle w:val="InternetLink"/>
                  <w:rFonts w:ascii="Arial;sans-serif" w:hAnsi="Arial;sans-serif"/>
                  <w:b w:val="false"/>
                  <w:color w:val="0000FF"/>
                  <w:sz w:val="16"/>
                  <w:u w:val="single"/>
                </w:rPr>
                <w:t>10.29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Warrant Agreement, dated as of August 25, 2025, by and among FIP RR Holdings LLC, FTAI Infrastructure Inc. (solely with respect to Section 7 and Section 14) and the holders party thereto (incorporated by reference to Exhibit 10.3 of the Company’s Current Report on Form 8-K, filed August 25,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42">
              <w:r>
                <w:rPr>
                  <w:rStyle w:val="InternetLink"/>
                  <w:rFonts w:ascii="Arial;sans-serif" w:hAnsi="Arial;sans-serif"/>
                  <w:b w:val="false"/>
                  <w:color w:val="0000FF"/>
                  <w:sz w:val="16"/>
                  <w:u w:val="single"/>
                </w:rPr>
                <w:t>10.30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Credit Agreement, dated as of February 25, 2026, among FTAI Infrastructure Inc., the guarantors from time to time party thereto, the Lenders from time to time party thereto, certain other financial institutions from time to time party thereto and Alter Domus (US) LLC, as administrative agent (incorporated by reference to Exhibit 10.1 of the Company’s Current Report on Form 8-K, filed February 26, 2026).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43">
              <w:r>
                <w:rPr>
                  <w:rStyle w:val="InternetLink"/>
                  <w:rFonts w:ascii="Arial;sans-serif" w:hAnsi="Arial;sans-serif"/>
                  <w:b w:val="false"/>
                  <w:color w:val="0000FF"/>
                  <w:sz w:val="16"/>
                  <w:u w:val="single"/>
                </w:rPr>
                <w:t>10.31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Equity Purchase Agreement, dated as of April 29, 2026, by and among Ohio River Partners Holdco LLC, Ohio River Partners Finance LLC, MARA USA Corporation, and, solely for the purposes specified therein, MARA Holdings, Inc. and FTAI Infrastructure Inc. (incorporated by reference to Exhibit 10.1 of the Company’s Current Report on Form 8-K, filed April 30, 2026).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44">
              <w:r>
                <w:rPr>
                  <w:rStyle w:val="InternetLink"/>
                  <w:rFonts w:ascii="Arial;sans-serif" w:hAnsi="Arial;sans-serif"/>
                  <w:b w:val="false"/>
                  <w:color w:val="0000FF"/>
                  <w:sz w:val="16"/>
                  <w:u w:val="single"/>
                </w:rPr>
                <w:t>10.32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Bridge Loan Credit Agreement, dated as of July 1, 2026, by and among Jefferson 2020 Bond Borrower LLC, as Borrower, the Lenders party thereto and Jefferies Finance LLC, as Administrative Agent (incorporated by reference to Exhibit 10.1 of the Company’s Current Report on Form 8-K, filed July 2, 2026).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ip6302026exhibit311.htm">
              <w:r>
                <w:rPr>
                  <w:rStyle w:val="InternetLink"/>
                  <w:rFonts w:ascii="Arial;sans-serif" w:hAnsi="Arial;sans-serif"/>
                  <w:b w:val="false"/>
                  <w:color w:val="0000FF"/>
                  <w:sz w:val="16"/>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Certification of Chief Executive Officer pursuant to Rule 13a-14(a)/15d-14(a), as adopted pursuant to Section 302 of the Sarbanes-Oxley Act of 2002.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fip6302026exhibit312.htm">
              <w:r>
                <w:rPr>
                  <w:rStyle w:val="InternetLink"/>
                  <w:rFonts w:ascii="Arial;sans-serif" w:hAnsi="Arial;sans-serif"/>
                  <w:b w:val="false"/>
                  <w:color w:val="0000FF"/>
                  <w:sz w:val="16"/>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Certification of Chief Financial Officer pursuant to Rule 13a-14(a)/15d-14(a), as adopted pursuant to Section 302 of the Sarbanes-Oxley Act of 2002.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ip6302026exhibit321.htm">
              <w:r>
                <w:rPr>
                  <w:rStyle w:val="InternetLink"/>
                  <w:rFonts w:ascii="Arial;sans-serif" w:hAnsi="Arial;sans-serif"/>
                  <w:b w:val="false"/>
                  <w:color w:val="0000FF"/>
                  <w:sz w:val="16"/>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Certification of Chief Executive Officer pursuant to 18 U.S.C. Section 1350, as adopted pursuant to Section 906 of the Sarbanes-Oxley Act of 2002.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fip6302026exhibit322.htm">
              <w:r>
                <w:rPr>
                  <w:rStyle w:val="InternetLink"/>
                  <w:rFonts w:ascii="Arial;sans-serif" w:hAnsi="Arial;sans-serif"/>
                  <w:b w:val="false"/>
                  <w:color w:val="0000FF"/>
                  <w:sz w:val="16"/>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Certification of Chief Financial Officer pursuant to 18 U.S.C. Section 1350, as adopted pursuant to Section 906 of the Sarbanes-Oxley Act of 2002.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32740"/>
                <wp:effectExtent l="0" t="0" r="0" b="0"/>
                <wp:wrapNone/>
                <wp:docPr id="89" name="Frame8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25"/>
        <w:gridCol w:w="325"/>
        <w:gridCol w:w="326"/>
        <w:gridCol w:w="109"/>
        <w:gridCol w:w="109"/>
        <w:gridCol w:w="109"/>
        <w:gridCol w:w="2503"/>
        <w:gridCol w:w="2503"/>
        <w:gridCol w:w="3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The following financial information from the Company’s Quarterly Report on Form 10-Q for the quarter ended June 30, 2026, formatted in iXBRL (Inline Extensible Business Reporting Language): (i) Consolidated Balance Sheets; (ii) Consolidated Statements of Operations; (iii) Consolidated Statements of Comprehensive (Loss) Income; (iv) Consolidated Statements of Changes in Equity; (v) Consolidated Statements of Cash Flows; and (vi) Notes to Consolidated Financial Statements.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Management contracts and compensatory plans or arrangements.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98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Portions of this exhibit have been omitted.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32740"/>
                <wp:effectExtent l="0" t="0" r="0" b="0"/>
                <wp:wrapNone/>
                <wp:docPr id="90" name="Frame8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497F"/>
          <w:sz w:val="18"/>
        </w:rPr>
      </w:pPr>
      <w:r>
        <w:rPr>
          <w:rFonts w:ascii="Arial;sans-serif" w:hAnsi="Arial;sans-serif"/>
          <w:b/>
          <w:color w:val="00497F"/>
          <w:sz w:val="18"/>
        </w:rPr>
        <w:t>SIGNATURES</w:t>
      </w:r>
    </w:p>
    <w:p>
      <w:pPr>
        <w:pStyle w:val="TextBody"/>
        <w:bidi w:val="0"/>
        <w:spacing w:lineRule="auto" w:line="288" w:before="120" w:after="283"/>
        <w:jc w:val="center"/>
        <w:rPr>
          <w:color w:val="000000"/>
        </w:rPr>
      </w:pPr>
      <w:r>
        <w:rPr>
          <w:color w:val="000000"/>
        </w:rPr>
        <w:t>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FTAI INFRASTRUCTURE INC.</w:t>
      </w:r>
    </w:p>
    <w:tbl>
      <w:tblPr>
        <w:tblW w:w="5859" w:type="dxa"/>
        <w:jc w:val="left"/>
        <w:tblInd w:w="0" w:type="dxa"/>
        <w:tblLayout w:type="fixed"/>
        <w:tblCellMar>
          <w:top w:w="28" w:type="dxa"/>
          <w:left w:w="28" w:type="dxa"/>
          <w:bottom w:w="28" w:type="dxa"/>
          <w:right w:w="28" w:type="dxa"/>
        </w:tblCellMar>
      </w:tblPr>
      <w:tblGrid>
        <w:gridCol w:w="136"/>
        <w:gridCol w:w="119"/>
        <w:gridCol w:w="119"/>
        <w:gridCol w:w="1044"/>
        <w:gridCol w:w="1044"/>
        <w:gridCol w:w="1047"/>
        <w:gridCol w:w="109"/>
        <w:gridCol w:w="109"/>
        <w:gridCol w:w="109"/>
        <w:gridCol w:w="179"/>
        <w:gridCol w:w="179"/>
        <w:gridCol w:w="181"/>
        <w:gridCol w:w="434"/>
        <w:gridCol w:w="434"/>
        <w:gridCol w:w="61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Kenneth J. Nicholson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10, 2026</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Kenneth J. Nicholson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and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70" w:type="dxa"/>
        <w:jc w:val="left"/>
        <w:tblInd w:w="0" w:type="dxa"/>
        <w:tblLayout w:type="fixed"/>
        <w:tblCellMar>
          <w:top w:w="28" w:type="dxa"/>
          <w:left w:w="28" w:type="dxa"/>
          <w:bottom w:w="28" w:type="dxa"/>
          <w:right w:w="28" w:type="dxa"/>
        </w:tblCellMar>
      </w:tblPr>
      <w:tblGrid>
        <w:gridCol w:w="136"/>
        <w:gridCol w:w="119"/>
        <w:gridCol w:w="119"/>
        <w:gridCol w:w="1206"/>
        <w:gridCol w:w="1206"/>
        <w:gridCol w:w="1210"/>
        <w:gridCol w:w="217"/>
        <w:gridCol w:w="217"/>
        <w:gridCol w:w="217"/>
        <w:gridCol w:w="179"/>
        <w:gridCol w:w="179"/>
        <w:gridCol w:w="181"/>
        <w:gridCol w:w="434"/>
        <w:gridCol w:w="434"/>
        <w:gridCol w:w="61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 Carl R. Fletcher IV</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10, 2026</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Carl R. Fletcher IV</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Chief Financial Officer and Chief Accounting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32740"/>
                <wp:effectExtent l="0" t="0" r="0" b="0"/>
                <wp:wrapNone/>
                <wp:docPr id="91" name="Frame9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0" w:after="0"/>
        <w:jc w:val="center"/>
        <w:rPr>
          <w:color w:val="000000"/>
        </w:rPr>
      </w:pPr>
      <w:r>
        <w:rPr>
          <w:color w:val="000000"/>
        </w:rPr>
        <w:t> </w:t>
      </w:r>
    </w:p>
    <w:p>
      <w:pPr>
        <w:pStyle w:val="TextBody"/>
        <w:bidi w:val="0"/>
        <w:spacing w:lineRule="auto" w:line="417" w:before="0" w:after="0"/>
        <w:jc w:val="center"/>
        <w:rPr>
          <w:rFonts w:ascii="Arial;sans-serif" w:hAnsi="Arial;sans-serif"/>
          <w:b/>
          <w:color w:val="000000"/>
          <w:sz w:val="18"/>
        </w:rPr>
      </w:pPr>
      <w:r>
        <w:rPr>
          <w:rFonts w:ascii="Arial;sans-serif" w:hAnsi="Arial;sans-serif"/>
          <w:b/>
          <w:color w:val="000000"/>
          <w:sz w:val="18"/>
        </w:rPr>
        <w:t>SECTION 302 CERTIFICATION OF CHIEF EXECUTIVE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Kenneth J. Nicholson,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FTAI Infrastructure Inc. (the “registrant”);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80"/>
        <w:ind w:left="0" w:right="0" w:firstLine="720"/>
        <w:jc w:val="left"/>
        <w:rPr/>
      </w:pPr>
      <w:r>
        <w:rPr/>
      </w:r>
    </w:p>
    <w:p>
      <w:pPr>
        <w:pStyle w:val="TextBody"/>
        <w:bidi w:val="0"/>
        <w:spacing w:before="0" w:after="0"/>
        <w:jc w:val="center"/>
        <w:rPr/>
      </w:pPr>
      <w:r>
        <w:rPr/>
      </w:r>
    </w:p>
    <w:tbl>
      <w:tblPr>
        <w:tblW w:w="4961" w:type="dxa"/>
        <w:jc w:val="center"/>
        <w:tblInd w:w="0" w:type="dxa"/>
        <w:tblLayout w:type="fixed"/>
        <w:tblCellMar>
          <w:top w:w="28" w:type="dxa"/>
          <w:left w:w="28" w:type="dxa"/>
          <w:bottom w:w="28" w:type="dxa"/>
          <w:right w:w="28" w:type="dxa"/>
        </w:tblCellMar>
      </w:tblPr>
      <w:tblGrid>
        <w:gridCol w:w="527"/>
        <w:gridCol w:w="462"/>
        <w:gridCol w:w="465"/>
        <w:gridCol w:w="109"/>
        <w:gridCol w:w="109"/>
        <w:gridCol w:w="109"/>
        <w:gridCol w:w="928"/>
        <w:gridCol w:w="928"/>
        <w:gridCol w:w="132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Kenneth J. Nicholson</w:t>
            </w:r>
          </w:p>
        </w:tc>
      </w:tr>
      <w:tr>
        <w:trPr/>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Kenneth J. Nicholson</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0" w:after="0"/>
        <w:jc w:val="center"/>
        <w:rPr>
          <w:color w:val="000000"/>
        </w:rPr>
      </w:pPr>
      <w:r>
        <w:rPr>
          <w:color w:val="000000"/>
        </w:rPr>
        <w:t> </w:t>
      </w:r>
    </w:p>
    <w:p>
      <w:pPr>
        <w:pStyle w:val="TextBody"/>
        <w:bidi w:val="0"/>
        <w:spacing w:lineRule="auto" w:line="417" w:before="0" w:after="0"/>
        <w:jc w:val="center"/>
        <w:rPr>
          <w:rFonts w:ascii="Arial;sans-serif" w:hAnsi="Arial;sans-serif"/>
          <w:b/>
          <w:color w:val="000000"/>
          <w:sz w:val="18"/>
        </w:rPr>
      </w:pPr>
      <w:r>
        <w:rPr>
          <w:rFonts w:ascii="Arial;sans-serif" w:hAnsi="Arial;sans-serif"/>
          <w:b/>
          <w:color w:val="000000"/>
          <w:sz w:val="18"/>
        </w:rPr>
        <w:t>SECTION 302 CERTIFICATION OF CHIEF FINANCIAL OFFICER</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Carl R. Fletcher IV,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FTAI Infrastructure Inc. (the “registrant”);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80"/>
        <w:ind w:left="0" w:right="0" w:firstLine="720"/>
        <w:jc w:val="left"/>
        <w:rPr/>
      </w:pPr>
      <w:r>
        <w:rPr/>
      </w:r>
    </w:p>
    <w:p>
      <w:pPr>
        <w:pStyle w:val="TextBody"/>
        <w:bidi w:val="0"/>
        <w:spacing w:before="0" w:after="180"/>
        <w:jc w:val="left"/>
        <w:rPr/>
      </w:pPr>
      <w:r>
        <w:rPr/>
      </w:r>
    </w:p>
    <w:p>
      <w:pPr>
        <w:pStyle w:val="TextBody"/>
        <w:bidi w:val="0"/>
        <w:spacing w:lineRule="auto" w:line="288" w:before="0" w:after="0"/>
        <w:jc w:val="left"/>
        <w:rPr>
          <w:color w:val="000000"/>
        </w:rPr>
      </w:pPr>
      <w:r>
        <w:rPr>
          <w:color w:val="000000"/>
        </w:rPr>
        <w:t> </w:t>
      </w:r>
    </w:p>
    <w:tbl>
      <w:tblPr>
        <w:tblW w:w="6101" w:type="dxa"/>
        <w:jc w:val="center"/>
        <w:tblInd w:w="0" w:type="dxa"/>
        <w:tblLayout w:type="fixed"/>
        <w:tblCellMar>
          <w:top w:w="28" w:type="dxa"/>
          <w:left w:w="28" w:type="dxa"/>
          <w:bottom w:w="28" w:type="dxa"/>
          <w:right w:w="28" w:type="dxa"/>
        </w:tblCellMar>
      </w:tblPr>
      <w:tblGrid>
        <w:gridCol w:w="527"/>
        <w:gridCol w:w="462"/>
        <w:gridCol w:w="465"/>
        <w:gridCol w:w="109"/>
        <w:gridCol w:w="109"/>
        <w:gridCol w:w="109"/>
        <w:gridCol w:w="1262"/>
        <w:gridCol w:w="1262"/>
        <w:gridCol w:w="1796"/>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Carl R. Fletcher IV</w:t>
            </w:r>
          </w:p>
        </w:tc>
      </w:tr>
      <w:tr>
        <w:trPr/>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Carl R. Fletcher IV</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EXECUTIVE OFFICER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FTAI Infrastructure Inc. (the “Company”) for the quarterly period ended June 30, 2026 as filed with the Securities and Exchange Commission on the date hereof (the “Report”), Kenneth J. Nicholson, as Chief Executive Officer of the Company, hereby certifies, pursuant to 18 U.S.C. Section 1350, as adopted pursuant to Section 906 of the Sarbanes-Oxley Act of 2002, that, to the best of his knowledge: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and</w:t>
      </w:r>
    </w:p>
    <w:p>
      <w:pPr>
        <w:pStyle w:val="TextBody"/>
        <w:bidi w:val="0"/>
        <w:spacing w:lineRule="auto" w:line="288" w:before="180" w:after="283"/>
        <w:ind w:left="0" w:right="0" w:hanging="720"/>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tbl>
      <w:tblPr>
        <w:tblW w:w="3521" w:type="dxa"/>
        <w:jc w:val="left"/>
        <w:tblInd w:w="0" w:type="dxa"/>
        <w:tblLayout w:type="fixed"/>
        <w:tblCellMar>
          <w:top w:w="28" w:type="dxa"/>
          <w:left w:w="28" w:type="dxa"/>
          <w:bottom w:w="28" w:type="dxa"/>
          <w:right w:w="28" w:type="dxa"/>
        </w:tblCellMar>
      </w:tblPr>
      <w:tblGrid>
        <w:gridCol w:w="1139"/>
        <w:gridCol w:w="1001"/>
        <w:gridCol w:w="1009"/>
        <w:gridCol w:w="109"/>
        <w:gridCol w:w="109"/>
        <w:gridCol w:w="154"/>
      </w:tblGrid>
      <w:tr>
        <w:trPr/>
        <w:tc>
          <w:tcPr>
            <w:tcW w:w="113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Kenneth J. Nicholson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Kenneth J. Nicholson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and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August 10,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FINANCIAL OFFICER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FTAI Infrastructure Inc. (the “Company”) for the quarterly period ended June 30, 2026 as filed with the Securities and Exchange Commission on the date hereof (the “Report”), Carl R. Fletcher IV, as Chief Financial Officer of the Company, hereby certifies, pursuant to 18 U.S.C. Section 1350, as adopted pursuant to Section 906 of the Sarbanes-Oxley Act of 2002, that, to the best of his knowledge: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and</w:t>
      </w:r>
    </w:p>
    <w:p>
      <w:pPr>
        <w:pStyle w:val="TextBody"/>
        <w:bidi w:val="0"/>
        <w:spacing w:lineRule="auto" w:line="288" w:before="180" w:after="283"/>
        <w:ind w:left="0" w:right="0" w:hanging="720"/>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tbl>
      <w:tblPr>
        <w:tblW w:w="4662" w:type="dxa"/>
        <w:jc w:val="left"/>
        <w:tblInd w:w="0" w:type="dxa"/>
        <w:tblLayout w:type="fixed"/>
        <w:tblCellMar>
          <w:top w:w="28" w:type="dxa"/>
          <w:left w:w="28" w:type="dxa"/>
          <w:bottom w:w="28" w:type="dxa"/>
          <w:right w:w="28" w:type="dxa"/>
        </w:tblCellMar>
      </w:tblPr>
      <w:tblGrid>
        <w:gridCol w:w="1554"/>
        <w:gridCol w:w="1362"/>
        <w:gridCol w:w="1374"/>
        <w:gridCol w:w="109"/>
        <w:gridCol w:w="109"/>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Carl R. Fletcher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Carl R. Fletcher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August 10,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899883/000114036122027683/brhc10040169_ex2-1.htm" TargetMode="External"/><Relationship Id="rId4" Type="http://schemas.openxmlformats.org/officeDocument/2006/relationships/hyperlink" Target="https://www.sec.gov/Archives/edgar/data/1899883/000114036125006134/ef20044412_ex2-1.htm" TargetMode="External"/><Relationship Id="rId5" Type="http://schemas.openxmlformats.org/officeDocument/2006/relationships/hyperlink" Target="https://www.sec.gov/Archives/edgar/data/1899883/000114036125029042/ef20053302_ex10-1.htm" TargetMode="External"/><Relationship Id="rId6" Type="http://schemas.openxmlformats.org/officeDocument/2006/relationships/hyperlink" Target="https://www.sec.gov/Archives/edgar/data/0001899883/000114036122027683/brhc10040169_ex3-1.htm" TargetMode="External"/><Relationship Id="rId7" Type="http://schemas.openxmlformats.org/officeDocument/2006/relationships/hyperlink" Target="https://www.sec.gov/Archives/edgar/data/0001899883/000114036122027683/brhc10040169_ex3-2.htm" TargetMode="External"/><Relationship Id="rId8" Type="http://schemas.openxmlformats.org/officeDocument/2006/relationships/hyperlink" Target="https://www.sec.gov/Archives/edgar/data/0001899883/000114036122027683/brhc10040169_ex3-3.htm" TargetMode="External"/><Relationship Id="rId9" Type="http://schemas.openxmlformats.org/officeDocument/2006/relationships/hyperlink" Target="https://www.sec.gov/Archives/edgar/data/1899883/000114036125006134/ef20044412_ex3-2.htm" TargetMode="External"/><Relationship Id="rId10" Type="http://schemas.openxmlformats.org/officeDocument/2006/relationships/hyperlink" Target="https://www.sec.gov/Archives/edgar/data/1899883/000189988326000015/fip12312025exhibit41.htm" TargetMode="External"/><Relationship Id="rId11" Type="http://schemas.openxmlformats.org/officeDocument/2006/relationships/hyperlink" Target="https://www.sec.gov/Archives/edgar/data/1899883/000114036125005888/ef20044242_ex4-1.htm" TargetMode="External"/><Relationship Id="rId12" Type="http://schemas.openxmlformats.org/officeDocument/2006/relationships/hyperlink" Target="https://www.sec.gov/Archives/edgar/data/1899883/000114036125005888/ef20044242_ex4-1.htm" TargetMode="External"/><Relationship Id="rId13" Type="http://schemas.openxmlformats.org/officeDocument/2006/relationships/hyperlink" Target="https://www.sec.gov/Archives/edgar/data/0001899883/000114036122027683/brhc10040169_ex10-1.htm" TargetMode="External"/><Relationship Id="rId14" Type="http://schemas.openxmlformats.org/officeDocument/2006/relationships/hyperlink" Target="https://www.sec.gov/Archives/edgar/data/1899883/000114036122027683/brhc10040169_ex10-8.htm" TargetMode="External"/><Relationship Id="rId15" Type="http://schemas.openxmlformats.org/officeDocument/2006/relationships/hyperlink" Target="https://www.sec.gov/Archives/edgar/data/0001899883/000114036122027683/brhc10040169_ex10-4.htm" TargetMode="External"/><Relationship Id="rId16" Type="http://schemas.openxmlformats.org/officeDocument/2006/relationships/hyperlink" Target="https://www.sec.gov/Archives/edgar/data/1899883/000114036122016706/ny20001700x6_ex10-4.htm" TargetMode="External"/><Relationship Id="rId17" Type="http://schemas.openxmlformats.org/officeDocument/2006/relationships/hyperlink" Target="https://www.sec.gov/Archives/edgar/data/1899883/000114036122016706/ny20001700x6_ex10-5.htm" TargetMode="External"/><Relationship Id="rId18" Type="http://schemas.openxmlformats.org/officeDocument/2006/relationships/hyperlink" Target="https://www.sec.gov/Archives/edgar/data/0001899883/000114036122027683/brhc10040169_ex10-2.htm" TargetMode="External"/><Relationship Id="rId19" Type="http://schemas.openxmlformats.org/officeDocument/2006/relationships/hyperlink" Target="https://www.sec.gov/Archives/edgar/data/1590364/000159036419000004/epccontract-exhibit1017.htm" TargetMode="External"/><Relationship Id="rId20" Type="http://schemas.openxmlformats.org/officeDocument/2006/relationships/hyperlink" Target="https://www.sec.gov/Archives/edgar/data/1590364/000159036419000004/geequipmentsupplyagreement.htm" TargetMode="External"/><Relationship Id="rId21" Type="http://schemas.openxmlformats.org/officeDocument/2006/relationships/hyperlink" Target="https://www.sec.gov/Archives/edgar/data/1899883/000114036124030752/ef20031396_ex10-1.htm" TargetMode="External"/><Relationship Id="rId22" Type="http://schemas.openxmlformats.org/officeDocument/2006/relationships/hyperlink" Target="https://www.sec.gov/Archives/edgar/data/1590364/000159036420000005/jeffersondeedoftrust.htm" TargetMode="External"/><Relationship Id="rId23" Type="http://schemas.openxmlformats.org/officeDocument/2006/relationships/hyperlink" Target="https://www.sec.gov/Archives/edgar/data/1590364/000159036420000005/jeffersonfacilitieslea.htm" TargetMode="External"/><Relationship Id="rId24" Type="http://schemas.openxmlformats.org/officeDocument/2006/relationships/hyperlink" Target="https://www.sec.gov/Archives/edgar/data/1899883/000114036124030752/ef20031396_ex10-2.htm" TargetMode="External"/><Relationship Id="rId25" Type="http://schemas.openxmlformats.org/officeDocument/2006/relationships/hyperlink" Target="https://www.sec.gov/Archives/edgar/data/1899883/000114036124030752/ef20031396_ex10-3.htm" TargetMode="External"/><Relationship Id="rId26" Type="http://schemas.openxmlformats.org/officeDocument/2006/relationships/hyperlink" Target="https://www.sec.gov/Archives/edgar/data/1590364/000114036121020135/brhc10025553_ex10-1.htm" TargetMode="External"/><Relationship Id="rId27" Type="http://schemas.openxmlformats.org/officeDocument/2006/relationships/hyperlink" Target="https://www.sec.gov/Archives/edgar/data/1590364/000159036421000006/railwayservicesagreement.htm" TargetMode="External"/><Relationship Id="rId28" Type="http://schemas.openxmlformats.org/officeDocument/2006/relationships/hyperlink" Target="https://www.sec.gov/Archives/edgar/data/1899883/000114036122024785/ny20001700x10_ex10-17.htm" TargetMode="External"/><Relationship Id="rId29" Type="http://schemas.openxmlformats.org/officeDocument/2006/relationships/hyperlink" Target="https://www.sec.gov/Archives/edgar/data/0001899883/000114036122027683/brhc10040169_ex10-6.htm" TargetMode="External"/><Relationship Id="rId30" Type="http://schemas.openxmlformats.org/officeDocument/2006/relationships/hyperlink" Target="https://www.sec.gov/Archives/edgar/data/0001899883/000114036122027683/brhc10040169_ex10-5.htm" TargetMode="External"/><Relationship Id="rId31" Type="http://schemas.openxmlformats.org/officeDocument/2006/relationships/hyperlink" Target="https://www.sec.gov/Archives/edgar/data/0001899883/000114036122027683/brhc10040169_ex10-3.htm" TargetMode="External"/><Relationship Id="rId32" Type="http://schemas.openxmlformats.org/officeDocument/2006/relationships/hyperlink" Target="https://www.sec.gov/Archives/edgar/data/0001899883/000114036122027683/brhc10040169_ex10-7.htm" TargetMode="External"/><Relationship Id="rId33" Type="http://schemas.openxmlformats.org/officeDocument/2006/relationships/hyperlink" Target="https://www.sec.gov/Archives/edgar/data/1899883/000114036125006134/ef20044412_ex10-1.htm" TargetMode="External"/><Relationship Id="rId34" Type="http://schemas.openxmlformats.org/officeDocument/2006/relationships/hyperlink" Target="https://www.sec.gov/Archives/edgar/data/1899883/000114036125006134/ef20044412_ex10-2.htm" TargetMode="External"/><Relationship Id="rId35" Type="http://schemas.openxmlformats.org/officeDocument/2006/relationships/hyperlink" Target="https://www.sec.gov/Archives/edgar/data/1899883/000114036125005888/ef20044242_ex10-1.htm" TargetMode="External"/><Relationship Id="rId36" Type="http://schemas.openxmlformats.org/officeDocument/2006/relationships/hyperlink" Target="https://www.sec.gov/Archives/edgar/data/1899883/000114036125021294/ef20050005_ex10-1.htm" TargetMode="External"/><Relationship Id="rId37" Type="http://schemas.openxmlformats.org/officeDocument/2006/relationships/hyperlink" Target="https://www.sec.gov/Archives/edgar/data/1899883/000114036125021294/ef20050005_ex10-2.htm" TargetMode="External"/><Relationship Id="rId38" Type="http://schemas.openxmlformats.org/officeDocument/2006/relationships/hyperlink" Target="https://www.sec.gov/Archives/edgar/data/1899883/000114036125021294/ef20049988_ex10-3.htm" TargetMode="External"/><Relationship Id="rId39" Type="http://schemas.openxmlformats.org/officeDocument/2006/relationships/hyperlink" Target="https://www.sec.gov/Archives/edgar/data/1899883/000114036125021294/ef20050005_ex10-4.htm" TargetMode="External"/><Relationship Id="rId40" Type="http://schemas.openxmlformats.org/officeDocument/2006/relationships/hyperlink" Target="https://www.sec.gov/Archives/edgar/data/1899883/000114036125032534/ef20054420_ex10-2.htm" TargetMode="External"/><Relationship Id="rId41" Type="http://schemas.openxmlformats.org/officeDocument/2006/relationships/hyperlink" Target="https://www.sec.gov/Archives/edgar/data/1899883/000114036125032534/ef20054420_ex10-3.htm" TargetMode="External"/><Relationship Id="rId42" Type="http://schemas.openxmlformats.org/officeDocument/2006/relationships/hyperlink" Target="https://www.sec.gov/Archives/edgar/data/1899883/000114036126007000/ef20065180_ex10-1.htm" TargetMode="External"/><Relationship Id="rId43" Type="http://schemas.openxmlformats.org/officeDocument/2006/relationships/hyperlink" Target="https://www.sec.gov/Archives/edgar/data/1899883/000114036126018033/ef20071666_ex10-1.htm" TargetMode="External"/><Relationship Id="rId44" Type="http://schemas.openxmlformats.org/officeDocument/2006/relationships/hyperlink" Target="https://www.sec.gov/Archives/edgar/data/1899883/000114036126027428/ef20077277_ex10-1.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52913</Words>
  <Characters>294500</Characters>
  <CharactersWithSpaces>344076</CharactersWithSpaces>
  <Paragraphs>7243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