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330"/>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58"/>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273"/>
        </w:trPr>
        <w:tc>
          <w:tcPr>
            <w:tcW w:w="1000" w:type="dxa"/>
            <w:vAlign w:val="bottom"/>
            <w:vMerge w:val="continue"/>
          </w:tcPr>
          <w:p>
            <w:pPr>
              <w:spacing w:after="0"/>
              <w:rPr>
                <w:sz w:val="23"/>
                <w:szCs w:val="23"/>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456"/>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For the quarterly period ended March 31, 2026</w:t>
            </w: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8"/>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87"/>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96"/>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3"/>
                <w:szCs w:val="23"/>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001-41370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141605</wp:posOffset>
            </wp:positionV>
            <wp:extent cx="214312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FTAI INFRASTRUCTURE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Borders>
              <w:bottom w:val="single" w:sz="8" w:color="auto"/>
            </w:tcBorders>
          </w:tcPr>
          <w:p>
            <w:pPr>
              <w:jc w:val="center"/>
              <w:ind w:left="1779"/>
              <w:spacing w:after="0"/>
              <w:rPr>
                <w:sz w:val="20"/>
                <w:szCs w:val="20"/>
                <w:color w:val="auto"/>
              </w:rPr>
            </w:pPr>
            <w:r>
              <w:rPr>
                <w:rFonts w:ascii="Arial" w:cs="Arial" w:eastAsia="Arial" w:hAnsi="Arial"/>
                <w:sz w:val="16"/>
                <w:szCs w:val="16"/>
                <w:b w:val="1"/>
                <w:bCs w:val="1"/>
                <w:color w:val="auto"/>
                <w:w w:val="99"/>
              </w:rPr>
              <w:t>Delaware</w:t>
            </w:r>
          </w:p>
        </w:tc>
        <w:tc>
          <w:tcPr>
            <w:tcW w:w="1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3"/>
          </w:tcPr>
          <w:p>
            <w:pPr>
              <w:jc w:val="right"/>
              <w:ind w:right="1959"/>
              <w:spacing w:after="0"/>
              <w:rPr>
                <w:sz w:val="20"/>
                <w:szCs w:val="20"/>
                <w:color w:val="auto"/>
              </w:rPr>
            </w:pPr>
            <w:r>
              <w:rPr>
                <w:rFonts w:ascii="Arial" w:cs="Arial" w:eastAsia="Arial" w:hAnsi="Arial"/>
                <w:sz w:val="16"/>
                <w:szCs w:val="16"/>
                <w:b w:val="1"/>
                <w:bCs w:val="1"/>
                <w:color w:val="auto"/>
              </w:rPr>
              <w:t>87-4407005</w:t>
            </w:r>
          </w:p>
        </w:tc>
      </w:tr>
      <w:tr>
        <w:trPr>
          <w:trHeight w:val="208"/>
        </w:trPr>
        <w:tc>
          <w:tcPr>
            <w:tcW w:w="6160" w:type="dxa"/>
            <w:vAlign w:val="bottom"/>
            <w:gridSpan w:val="2"/>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40" w:type="dxa"/>
            <w:vAlign w:val="bottom"/>
            <w:gridSpan w:val="3"/>
          </w:tcPr>
          <w:p>
            <w:pPr>
              <w:jc w:val="center"/>
              <w:ind w:right="1039"/>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4320" w:type="dxa"/>
            <w:vAlign w:val="bottom"/>
          </w:tcPr>
          <w:p>
            <w:pPr>
              <w:ind w:left="580"/>
              <w:spacing w:after="0"/>
              <w:rPr>
                <w:sz w:val="20"/>
                <w:szCs w:val="20"/>
                <w:color w:val="auto"/>
              </w:rPr>
            </w:pPr>
            <w:r>
              <w:rPr>
                <w:rFonts w:ascii="Arial" w:cs="Arial" w:eastAsia="Arial" w:hAnsi="Arial"/>
                <w:sz w:val="16"/>
                <w:szCs w:val="16"/>
                <w:b w:val="1"/>
                <w:bCs w:val="1"/>
                <w:color w:val="auto"/>
              </w:rPr>
              <w:t>1345 Avenue of the Americas, 45th Floor</w:t>
            </w:r>
          </w:p>
        </w:tc>
        <w:tc>
          <w:tcPr>
            <w:tcW w:w="1960" w:type="dxa"/>
            <w:vAlign w:val="bottom"/>
            <w:gridSpan w:val="2"/>
          </w:tcPr>
          <w:p>
            <w:pPr>
              <w:ind w:left="600"/>
              <w:spacing w:after="0"/>
              <w:rPr>
                <w:sz w:val="20"/>
                <w:szCs w:val="20"/>
                <w:color w:val="auto"/>
              </w:rPr>
            </w:pPr>
            <w:r>
              <w:rPr>
                <w:rFonts w:ascii="Arial" w:cs="Arial" w:eastAsia="Arial" w:hAnsi="Arial"/>
                <w:sz w:val="16"/>
                <w:szCs w:val="16"/>
                <w:b w:val="1"/>
                <w:bCs w:val="1"/>
                <w:color w:val="auto"/>
              </w:rPr>
              <w:t>New York</w:t>
            </w:r>
          </w:p>
        </w:tc>
        <w:tc>
          <w:tcPr>
            <w:tcW w:w="1100" w:type="dxa"/>
            <w:vAlign w:val="bottom"/>
          </w:tcPr>
          <w:p>
            <w:pPr>
              <w:ind w:left="760"/>
              <w:spacing w:after="0"/>
              <w:rPr>
                <w:sz w:val="20"/>
                <w:szCs w:val="20"/>
                <w:color w:val="auto"/>
              </w:rPr>
            </w:pPr>
            <w:r>
              <w:rPr>
                <w:rFonts w:ascii="Arial" w:cs="Arial" w:eastAsia="Arial" w:hAnsi="Arial"/>
                <w:sz w:val="16"/>
                <w:szCs w:val="16"/>
                <w:b w:val="1"/>
                <w:bCs w:val="1"/>
                <w:color w:val="auto"/>
              </w:rPr>
              <w:t>NY</w:t>
            </w:r>
          </w:p>
        </w:tc>
        <w:tc>
          <w:tcPr>
            <w:tcW w:w="384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08"/>
        </w:trPr>
        <w:tc>
          <w:tcPr>
            <w:tcW w:w="6280" w:type="dxa"/>
            <w:vAlign w:val="bottom"/>
            <w:tcBorders>
              <w:top w:val="single" w:sz="8" w:color="auto"/>
            </w:tcBorders>
            <w:gridSpan w:val="3"/>
          </w:tcPr>
          <w:p>
            <w:pPr>
              <w:ind w:left="2640"/>
              <w:spacing w:after="0"/>
              <w:rPr>
                <w:sz w:val="20"/>
                <w:szCs w:val="20"/>
                <w:color w:val="auto"/>
              </w:rPr>
            </w:pPr>
            <w:r>
              <w:rPr>
                <w:rFonts w:ascii="Arial" w:cs="Arial" w:eastAsia="Arial" w:hAnsi="Arial"/>
                <w:sz w:val="16"/>
                <w:szCs w:val="16"/>
                <w:color w:val="auto"/>
              </w:rPr>
              <w:t>(Address of principal executive offices)</w:t>
            </w:r>
          </w:p>
        </w:tc>
        <w:tc>
          <w:tcPr>
            <w:tcW w:w="1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311"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73"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Title of each class:</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rPr>
              <w:t>Trading Symbol:</w:t>
            </w:r>
          </w:p>
        </w:tc>
        <w:tc>
          <w:tcPr>
            <w:tcW w:w="3660" w:type="dxa"/>
            <w:vAlign w:val="bottom"/>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9"/>
        </w:trPr>
        <w:tc>
          <w:tcPr>
            <w:tcW w:w="5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FIP</w:t>
            </w:r>
          </w:p>
        </w:tc>
        <w:tc>
          <w:tcPr>
            <w:tcW w:w="12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190"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780" w:type="dxa"/>
        <w:tblCellMar>
          <w:top w:w="0" w:type="dxa"/>
          <w:left w:w="0" w:type="dxa"/>
          <w:bottom w:w="0" w:type="dxa"/>
          <w:right w:w="0" w:type="dxa"/>
        </w:tblCellMar>
      </w:tblPr>
      <w:tr>
        <w:trPr>
          <w:trHeight w:val="22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0" w:lineRule="exact"/>
        <w:rPr>
          <w:sz w:val="24"/>
          <w:szCs w:val="24"/>
          <w:color w:val="auto"/>
        </w:rPr>
      </w:pPr>
    </w:p>
    <w:p>
      <w:pPr>
        <w:ind w:right="20"/>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ind w:right="2200"/>
        <w:spacing w:after="0" w:line="29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6, 2026, the number of outstanding shares of the registrant’s common stock was 118,163,555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00497F"/>
        </w:rPr>
        <w:t>FORWARD-LOOKING STATEMENTS AND RISK FACTORS SUMMARY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14" w:lineRule="exact"/>
        <w:rPr>
          <w:sz w:val="20"/>
          <w:szCs w:val="20"/>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operate as a standalone public company;</w:t>
      </w:r>
    </w:p>
    <w:p>
      <w:pPr>
        <w:spacing w:after="0" w:line="59" w:lineRule="exact"/>
        <w:rPr>
          <w:rFonts w:ascii="Arial" w:cs="Arial" w:eastAsia="Arial" w:hAnsi="Arial"/>
          <w:sz w:val="16"/>
          <w:szCs w:val="16"/>
          <w:color w:val="auto"/>
        </w:rPr>
      </w:pPr>
    </w:p>
    <w:p>
      <w:pPr>
        <w:jc w:val="both"/>
        <w:ind w:left="820" w:hanging="326"/>
        <w:spacing w:after="0" w:line="271"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U.S. federal government shutdowns, the Russia-Ukraine conflict, the conflicts in the Middle East, public health crises, changing trade policies and tariffs, including related uncertainty or the imposition of modified or additional tariffs, and any related responses or actions by businesses and governments;</w:t>
      </w:r>
    </w:p>
    <w:p>
      <w:pPr>
        <w:spacing w:after="0" w:line="5"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including for future acquisitions, to refinance our debt and to fund our operations;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rail,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including The Wheeling Corporation (“Wheeling”) with Transtar;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our assets;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7"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72"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7"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FIG LLC (the “Manager”) and its professionals and actual, potential or perceived conflicts of interest in our relationship with our Manager;</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ind w:left="820" w:right="20" w:hanging="326"/>
        <w:spacing w:after="0" w:line="286" w:lineRule="auto"/>
        <w:tabs>
          <w:tab w:leader="none" w:pos="809"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acquisition of Softbank Group Corp.’s (“Softbank”) equity in Fortress Investment Group LLC (“Fortress”) by certain members of management of Fortress and Mubadala Capital, a wholly owned asset management subsidiary of Mubadala Investment Company (“Mubadala”);</w:t>
      </w:r>
    </w:p>
    <w:p>
      <w:pPr>
        <w:spacing w:after="0" w:line="7"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stock;</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stockholders in the future; and</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00497F"/>
        </w:rPr>
        <w:t>FTAI INFRASTRUCTURE INC.</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 w:type="dxa"/>
            <w:vAlign w:val="bottom"/>
          </w:tcPr>
          <w:p>
            <w:pPr>
              <w:spacing w:after="0"/>
              <w:rPr>
                <w:sz w:val="17"/>
                <w:szCs w:val="17"/>
                <w:color w:val="auto"/>
              </w:rPr>
            </w:pPr>
          </w:p>
        </w:tc>
        <w:tc>
          <w:tcPr>
            <w:tcW w:w="8740" w:type="dxa"/>
            <w:vAlign w:val="bottom"/>
          </w:tcPr>
          <w:p>
            <w:pPr>
              <w:ind w:left="3820"/>
              <w:spacing w:after="0"/>
              <w:rPr>
                <w:sz w:val="20"/>
                <w:szCs w:val="20"/>
                <w:color w:val="auto"/>
              </w:rPr>
            </w:pPr>
            <w:r>
              <w:rPr>
                <w:rFonts w:ascii="Arial" w:cs="Arial" w:eastAsia="Arial" w:hAnsi="Arial"/>
                <w:sz w:val="14"/>
                <w:szCs w:val="14"/>
                <w:b w:val="1"/>
                <w:bCs w:val="1"/>
                <w:color w:val="006EBF"/>
              </w:rPr>
              <w:t>PART I - FINANCIAL INFORMATION</w:t>
            </w:r>
          </w:p>
        </w:tc>
        <w:tc>
          <w:tcPr>
            <w:tcW w:w="1580" w:type="dxa"/>
            <w:vAlign w:val="bottom"/>
          </w:tcPr>
          <w:p>
            <w:pPr>
              <w:spacing w:after="0"/>
              <w:rPr>
                <w:sz w:val="17"/>
                <w:szCs w:val="17"/>
                <w:color w:val="auto"/>
              </w:rPr>
            </w:pP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8740" w:type="dxa"/>
            <w:vAlign w:val="bottom"/>
          </w:tcPr>
          <w:p>
            <w:pPr>
              <w:ind w:left="120"/>
              <w:spacing w:after="0"/>
              <w:rPr>
                <w:sz w:val="20"/>
                <w:szCs w:val="20"/>
                <w:color w:val="auto"/>
              </w:rPr>
            </w:pPr>
            <w:r>
              <w:rPr>
                <w:rFonts w:ascii="Arial" w:cs="Arial" w:eastAsia="Arial" w:hAnsi="Arial"/>
                <w:sz w:val="14"/>
                <w:szCs w:val="14"/>
                <w:color w:val="0000FF"/>
              </w:rPr>
              <w:t>Unaudited Consolidated Financial Statements of FTAI Infrastructure Inc.:</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5</w:t>
            </w:r>
          </w:p>
        </w:tc>
      </w:tr>
      <w:tr>
        <w:trPr>
          <w:trHeight w:val="197"/>
        </w:trPr>
        <w:tc>
          <w:tcPr>
            <w:tcW w:w="68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Arial" w:cs="Arial" w:eastAsia="Arial" w:hAnsi="Arial"/>
                <w:sz w:val="14"/>
                <w:szCs w:val="14"/>
                <w:color w:val="0000FF"/>
              </w:rPr>
              <w:t>Consolidated Balance Sheets as of March 31, 2026 and December 31, 2025</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5</w:t>
            </w:r>
          </w:p>
        </w:tc>
      </w:tr>
      <w:tr>
        <w:trPr>
          <w:trHeight w:val="203"/>
        </w:trPr>
        <w:tc>
          <w:tcPr>
            <w:tcW w:w="68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Arial" w:cs="Arial" w:eastAsia="Arial" w:hAnsi="Arial"/>
                <w:sz w:val="14"/>
                <w:szCs w:val="14"/>
                <w:color w:val="0000FF"/>
              </w:rPr>
              <w:t>Consolidated Statements of Operations for the three months ended March 31, 2026 and 2025</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7</w:t>
            </w:r>
          </w:p>
        </w:tc>
      </w:tr>
      <w:tr>
        <w:trPr>
          <w:trHeight w:val="216"/>
        </w:trPr>
        <w:tc>
          <w:tcPr>
            <w:tcW w:w="68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Arial" w:cs="Arial" w:eastAsia="Arial" w:hAnsi="Arial"/>
                <w:sz w:val="14"/>
                <w:szCs w:val="14"/>
                <w:color w:val="0000FF"/>
              </w:rPr>
              <w:t>Consolidated Statements of Comprehensive (Loss) Income for the three months ended March 31, 2026 and 2025</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8</w:t>
            </w:r>
          </w:p>
        </w:tc>
      </w:tr>
      <w:tr>
        <w:trPr>
          <w:trHeight w:val="216"/>
        </w:trPr>
        <w:tc>
          <w:tcPr>
            <w:tcW w:w="68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Arial" w:cs="Arial" w:eastAsia="Arial" w:hAnsi="Arial"/>
                <w:sz w:val="14"/>
                <w:szCs w:val="14"/>
                <w:color w:val="0000FF"/>
              </w:rPr>
              <w:t>Consolidated Statements of Changes in Equity for the three months ended March 31, 2026 and 2025</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9</w:t>
            </w:r>
          </w:p>
        </w:tc>
      </w:tr>
      <w:tr>
        <w:trPr>
          <w:trHeight w:val="216"/>
        </w:trPr>
        <w:tc>
          <w:tcPr>
            <w:tcW w:w="68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Arial" w:cs="Arial" w:eastAsia="Arial" w:hAnsi="Arial"/>
                <w:sz w:val="14"/>
                <w:szCs w:val="14"/>
                <w:color w:val="0000FF"/>
              </w:rPr>
              <w:t>Consolidated Statements of Cash Flows for the three months ended March 31, 2026 and 2025</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10</w:t>
            </w:r>
          </w:p>
        </w:tc>
      </w:tr>
      <w:tr>
        <w:trPr>
          <w:trHeight w:val="216"/>
        </w:trPr>
        <w:tc>
          <w:tcPr>
            <w:tcW w:w="68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Arial" w:cs="Arial" w:eastAsia="Arial" w:hAnsi="Arial"/>
                <w:sz w:val="14"/>
                <w:szCs w:val="14"/>
                <w:color w:val="0000FF"/>
              </w:rPr>
              <w:t>Notes to Consolidated Financial Statements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11</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 Summary of Significant Accounting Policies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11</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2: Acquisition of Subsidiaries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12</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3: Leasing Equipment, net</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14</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4: Property, Plant and Equipment, net</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15</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5: Investments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15</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6: Intangible Assets, net</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16</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7: Debt, net</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17</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8: Fair Value Measurements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18</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9: Derivative Financial Instruments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20</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10: Revenues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21</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11: Equity-Based Compensation</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22</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12: Income Taxes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23</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13: Management Agreement and Affiliate Transactions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23</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14: Segment Information</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25</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15: Redeemable Preferred Stock</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31</w:t>
            </w:r>
          </w:p>
        </w:tc>
      </w:tr>
      <w:tr>
        <w:trPr>
          <w:trHeight w:val="202"/>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16: Earnings per Share and Equity</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31</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17: Commitments and Contingencies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32</w:t>
            </w:r>
          </w:p>
        </w:tc>
      </w:tr>
      <w:tr>
        <w:trPr>
          <w:trHeight w:val="203"/>
        </w:trPr>
        <w:tc>
          <w:tcPr>
            <w:tcW w:w="680" w:type="dxa"/>
            <w:vAlign w:val="bottom"/>
          </w:tcPr>
          <w:p>
            <w:pPr>
              <w:spacing w:after="0"/>
              <w:rPr>
                <w:sz w:val="17"/>
                <w:szCs w:val="17"/>
                <w:color w:val="auto"/>
              </w:rPr>
            </w:pPr>
          </w:p>
        </w:tc>
        <w:tc>
          <w:tcPr>
            <w:tcW w:w="8740" w:type="dxa"/>
            <w:vAlign w:val="bottom"/>
          </w:tcPr>
          <w:p>
            <w:pPr>
              <w:ind w:left="220"/>
              <w:spacing w:after="0"/>
              <w:rPr>
                <w:sz w:val="20"/>
                <w:szCs w:val="20"/>
                <w:color w:val="auto"/>
              </w:rPr>
            </w:pPr>
            <w:r>
              <w:rPr>
                <w:rFonts w:ascii="Arial" w:cs="Arial" w:eastAsia="Arial" w:hAnsi="Arial"/>
                <w:sz w:val="14"/>
                <w:szCs w:val="14"/>
                <w:color w:val="0000FF"/>
              </w:rPr>
              <w:t>Note 18: Subsequent Events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32</w:t>
            </w:r>
          </w:p>
        </w:tc>
      </w:tr>
      <w:tr>
        <w:trPr>
          <w:trHeight w:val="222"/>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740" w:type="dxa"/>
            <w:vAlign w:val="bottom"/>
          </w:tcPr>
          <w:p>
            <w:pPr>
              <w:ind w:left="12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33</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740" w:type="dxa"/>
            <w:vAlign w:val="bottom"/>
          </w:tcPr>
          <w:p>
            <w:pPr>
              <w:ind w:left="120"/>
              <w:spacing w:after="0"/>
              <w:rPr>
                <w:sz w:val="20"/>
                <w:szCs w:val="20"/>
                <w:color w:val="auto"/>
              </w:rPr>
            </w:pPr>
            <w:r>
              <w:rPr>
                <w:rFonts w:ascii="Arial" w:cs="Arial" w:eastAsia="Arial" w:hAnsi="Arial"/>
                <w:sz w:val="14"/>
                <w:szCs w:val="14"/>
                <w:color w:val="0000FF"/>
              </w:rPr>
              <w:t>Quantitative and Qualitative Disclosures About Market Risk</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50</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740" w:type="dxa"/>
            <w:vAlign w:val="bottom"/>
          </w:tcPr>
          <w:p>
            <w:pPr>
              <w:ind w:left="120"/>
              <w:spacing w:after="0"/>
              <w:rPr>
                <w:sz w:val="20"/>
                <w:szCs w:val="20"/>
                <w:color w:val="auto"/>
              </w:rPr>
            </w:pPr>
            <w:r>
              <w:rPr>
                <w:rFonts w:ascii="Arial" w:cs="Arial" w:eastAsia="Arial" w:hAnsi="Arial"/>
                <w:sz w:val="14"/>
                <w:szCs w:val="14"/>
                <w:color w:val="0000FF"/>
              </w:rPr>
              <w:t>Controls and Procedures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51</w:t>
            </w:r>
          </w:p>
        </w:tc>
      </w:tr>
      <w:tr>
        <w:trPr>
          <w:trHeight w:val="203"/>
        </w:trPr>
        <w:tc>
          <w:tcPr>
            <w:tcW w:w="680" w:type="dxa"/>
            <w:vAlign w:val="bottom"/>
          </w:tcPr>
          <w:p>
            <w:pPr>
              <w:spacing w:after="0"/>
              <w:rPr>
                <w:sz w:val="17"/>
                <w:szCs w:val="17"/>
                <w:color w:val="auto"/>
              </w:rPr>
            </w:pPr>
          </w:p>
        </w:tc>
        <w:tc>
          <w:tcPr>
            <w:tcW w:w="8740" w:type="dxa"/>
            <w:vAlign w:val="bottom"/>
          </w:tcPr>
          <w:p>
            <w:pPr>
              <w:ind w:left="3940"/>
              <w:spacing w:after="0"/>
              <w:rPr>
                <w:sz w:val="20"/>
                <w:szCs w:val="20"/>
                <w:color w:val="auto"/>
              </w:rPr>
            </w:pPr>
            <w:r>
              <w:rPr>
                <w:rFonts w:ascii="Arial" w:cs="Arial" w:eastAsia="Arial" w:hAnsi="Arial"/>
                <w:sz w:val="14"/>
                <w:szCs w:val="14"/>
                <w:b w:val="1"/>
                <w:bCs w:val="1"/>
                <w:color w:val="006EBF"/>
              </w:rPr>
              <w:t>PART II - OTHER INFORMATION</w:t>
            </w:r>
          </w:p>
        </w:tc>
        <w:tc>
          <w:tcPr>
            <w:tcW w:w="1580" w:type="dxa"/>
            <w:vAlign w:val="bottom"/>
          </w:tcPr>
          <w:p>
            <w:pPr>
              <w:spacing w:after="0"/>
              <w:rPr>
                <w:sz w:val="17"/>
                <w:szCs w:val="17"/>
                <w:color w:val="auto"/>
              </w:rPr>
            </w:pP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8740" w:type="dxa"/>
            <w:vAlign w:val="bottom"/>
          </w:tcPr>
          <w:p>
            <w:pPr>
              <w:ind w:left="120"/>
              <w:spacing w:after="0"/>
              <w:rPr>
                <w:sz w:val="20"/>
                <w:szCs w:val="20"/>
                <w:color w:val="auto"/>
              </w:rPr>
            </w:pPr>
            <w:r>
              <w:rPr>
                <w:rFonts w:ascii="Arial" w:cs="Arial" w:eastAsia="Arial" w:hAnsi="Arial"/>
                <w:sz w:val="14"/>
                <w:szCs w:val="14"/>
                <w:color w:val="0000FF"/>
              </w:rPr>
              <w:t>Legal Proceedings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52</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740" w:type="dxa"/>
            <w:vAlign w:val="bottom"/>
          </w:tcPr>
          <w:p>
            <w:pPr>
              <w:ind w:left="120"/>
              <w:spacing w:after="0"/>
              <w:rPr>
                <w:sz w:val="20"/>
                <w:szCs w:val="20"/>
                <w:color w:val="auto"/>
              </w:rPr>
            </w:pPr>
            <w:r>
              <w:rPr>
                <w:rFonts w:ascii="Arial" w:cs="Arial" w:eastAsia="Arial" w:hAnsi="Arial"/>
                <w:sz w:val="14"/>
                <w:szCs w:val="14"/>
                <w:color w:val="0000FF"/>
              </w:rPr>
              <w:t>Risk Factors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52</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740" w:type="dxa"/>
            <w:vAlign w:val="bottom"/>
          </w:tcPr>
          <w:p>
            <w:pPr>
              <w:ind w:left="120"/>
              <w:spacing w:after="0"/>
              <w:rPr>
                <w:sz w:val="20"/>
                <w:szCs w:val="20"/>
                <w:color w:val="auto"/>
              </w:rPr>
            </w:pPr>
            <w:r>
              <w:rPr>
                <w:rFonts w:ascii="Arial" w:cs="Arial" w:eastAsia="Arial" w:hAnsi="Arial"/>
                <w:sz w:val="14"/>
                <w:szCs w:val="14"/>
                <w:color w:val="0000FF"/>
              </w:rPr>
              <w:t>Unregistered Sales of Equity Securities and Use of Proceeds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71</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740" w:type="dxa"/>
            <w:vAlign w:val="bottom"/>
          </w:tcPr>
          <w:p>
            <w:pPr>
              <w:ind w:left="120"/>
              <w:spacing w:after="0"/>
              <w:rPr>
                <w:sz w:val="20"/>
                <w:szCs w:val="20"/>
                <w:color w:val="auto"/>
              </w:rPr>
            </w:pPr>
            <w:r>
              <w:rPr>
                <w:rFonts w:ascii="Arial" w:cs="Arial" w:eastAsia="Arial" w:hAnsi="Arial"/>
                <w:sz w:val="14"/>
                <w:szCs w:val="14"/>
                <w:color w:val="0000FF"/>
              </w:rPr>
              <w:t>Defaults Upon Senior Securities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71</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740" w:type="dxa"/>
            <w:vAlign w:val="bottom"/>
          </w:tcPr>
          <w:p>
            <w:pPr>
              <w:ind w:left="120"/>
              <w:spacing w:after="0"/>
              <w:rPr>
                <w:sz w:val="20"/>
                <w:szCs w:val="20"/>
                <w:color w:val="auto"/>
              </w:rPr>
            </w:pPr>
            <w:r>
              <w:rPr>
                <w:rFonts w:ascii="Arial" w:cs="Arial" w:eastAsia="Arial" w:hAnsi="Arial"/>
                <w:sz w:val="14"/>
                <w:szCs w:val="14"/>
                <w:color w:val="0000FF"/>
              </w:rPr>
              <w:t>Mine Safety Disclosures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71</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8740" w:type="dxa"/>
            <w:vAlign w:val="bottom"/>
          </w:tcPr>
          <w:p>
            <w:pPr>
              <w:ind w:left="120"/>
              <w:spacing w:after="0"/>
              <w:rPr>
                <w:sz w:val="20"/>
                <w:szCs w:val="20"/>
                <w:color w:val="auto"/>
              </w:rPr>
            </w:pPr>
            <w:r>
              <w:rPr>
                <w:rFonts w:ascii="Arial" w:cs="Arial" w:eastAsia="Arial" w:hAnsi="Arial"/>
                <w:sz w:val="14"/>
                <w:szCs w:val="14"/>
                <w:color w:val="0000FF"/>
              </w:rPr>
              <w:t>Other Information</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71</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8740" w:type="dxa"/>
            <w:vAlign w:val="bottom"/>
          </w:tcPr>
          <w:p>
            <w:pPr>
              <w:ind w:left="120"/>
              <w:spacing w:after="0"/>
              <w:rPr>
                <w:sz w:val="20"/>
                <w:szCs w:val="20"/>
                <w:color w:val="auto"/>
              </w:rPr>
            </w:pPr>
            <w:r>
              <w:rPr>
                <w:rFonts w:ascii="Arial" w:cs="Arial" w:eastAsia="Arial" w:hAnsi="Arial"/>
                <w:sz w:val="14"/>
                <w:szCs w:val="14"/>
                <w:color w:val="0000FF"/>
              </w:rPr>
              <w:t>Exhibits</w:t>
            </w:r>
          </w:p>
        </w:tc>
        <w:tc>
          <w:tcPr>
            <w:tcW w:w="1580" w:type="dxa"/>
            <w:vAlign w:val="bottom"/>
          </w:tcPr>
          <w:p>
            <w:pPr>
              <w:jc w:val="center"/>
              <w:ind w:left="1348"/>
              <w:spacing w:after="0"/>
              <w:rPr>
                <w:sz w:val="20"/>
                <w:szCs w:val="20"/>
                <w:color w:val="auto"/>
              </w:rPr>
            </w:pPr>
            <w:r>
              <w:rPr>
                <w:rFonts w:ascii="Arial" w:cs="Arial" w:eastAsia="Arial" w:hAnsi="Arial"/>
                <w:sz w:val="14"/>
                <w:szCs w:val="14"/>
                <w:color w:val="0000FF"/>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231140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025" w:right="5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006EBF"/>
        </w:rPr>
        <w:t>PART I—FINANCIAL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FTAI INFRASTRUCTURE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7"/>
                <w:szCs w:val="17"/>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7"/>
                <w:szCs w:val="17"/>
                <w:color w:val="auto"/>
              </w:rPr>
            </w:pPr>
          </w:p>
        </w:tc>
        <w:tc>
          <w:tcPr>
            <w:tcW w:w="16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4"/>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20" w:type="dxa"/>
            <w:vAlign w:val="bottom"/>
          </w:tcPr>
          <w:p>
            <w:pPr>
              <w:spacing w:after="0"/>
              <w:rPr>
                <w:sz w:val="20"/>
                <w:szCs w:val="20"/>
                <w:color w:val="auto"/>
              </w:rPr>
            </w:pPr>
            <w:r>
              <w:rPr>
                <w:rFonts w:ascii="Arial" w:cs="Arial" w:eastAsia="Arial" w:hAnsi="Arial"/>
                <w:sz w:val="14"/>
                <w:szCs w:val="14"/>
                <w:color w:val="auto"/>
              </w:rPr>
              <w:t>Current assets: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37,860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57,351</w:t>
            </w:r>
          </w:p>
        </w:tc>
        <w:tc>
          <w:tcPr>
            <w:tcW w:w="0" w:type="dxa"/>
            <w:vAlign w:val="bottom"/>
          </w:tcPr>
          <w:p>
            <w:pPr>
              <w:spacing w:after="0"/>
              <w:rPr>
                <w:sz w:val="1"/>
                <w:szCs w:val="1"/>
                <w:color w:val="auto"/>
              </w:rPr>
            </w:pPr>
          </w:p>
        </w:tc>
      </w:tr>
      <w:tr>
        <w:trPr>
          <w:trHeight w:val="201"/>
        </w:trPr>
        <w:tc>
          <w:tcPr>
            <w:tcW w:w="6620" w:type="dxa"/>
            <w:vAlign w:val="bottom"/>
          </w:tcPr>
          <w:p>
            <w:pPr>
              <w:ind w:left="120"/>
              <w:spacing w:after="0"/>
              <w:rPr>
                <w:sz w:val="20"/>
                <w:szCs w:val="20"/>
                <w:color w:val="auto"/>
              </w:rPr>
            </w:pPr>
            <w:r>
              <w:rPr>
                <w:rFonts w:ascii="Arial" w:cs="Arial" w:eastAsia="Arial" w:hAnsi="Arial"/>
                <w:sz w:val="14"/>
                <w:szCs w:val="14"/>
                <w:color w:val="auto"/>
              </w:rPr>
              <w:t>Restricted cash and cash equivalents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189,571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268,595</w:t>
            </w:r>
          </w:p>
        </w:tc>
        <w:tc>
          <w:tcPr>
            <w:tcW w:w="0" w:type="dxa"/>
            <w:vAlign w:val="bottom"/>
          </w:tcPr>
          <w:p>
            <w:pPr>
              <w:spacing w:after="0"/>
              <w:rPr>
                <w:sz w:val="1"/>
                <w:szCs w:val="1"/>
                <w:color w:val="auto"/>
              </w:rPr>
            </w:pPr>
          </w:p>
        </w:tc>
      </w:tr>
      <w:tr>
        <w:trPr>
          <w:trHeight w:val="204"/>
        </w:trPr>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receivable, net</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97,368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95,388</w:t>
            </w:r>
          </w:p>
        </w:tc>
        <w:tc>
          <w:tcPr>
            <w:tcW w:w="0" w:type="dxa"/>
            <w:vAlign w:val="bottom"/>
          </w:tcPr>
          <w:p>
            <w:pPr>
              <w:spacing w:after="0"/>
              <w:rPr>
                <w:sz w:val="1"/>
                <w:szCs w:val="1"/>
                <w:color w:val="auto"/>
              </w:rPr>
            </w:pPr>
          </w:p>
        </w:tc>
      </w:tr>
      <w:tr>
        <w:trPr>
          <w:trHeight w:val="201"/>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current assets</w:t>
            </w:r>
          </w:p>
        </w:tc>
        <w:tc>
          <w:tcPr>
            <w:tcW w:w="740" w:type="dxa"/>
            <w:vAlign w:val="bottom"/>
            <w:tcBorders>
              <w:bottom w:val="single" w:sz="8" w:color="CCEEFF"/>
            </w:tcBorders>
          </w:tcPr>
          <w:p>
            <w:pPr>
              <w:jc w:val="center"/>
              <w:ind w:right="10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72,778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62,677</w:t>
            </w: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397,577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484,011</w:t>
            </w:r>
          </w:p>
        </w:tc>
        <w:tc>
          <w:tcPr>
            <w:tcW w:w="0" w:type="dxa"/>
            <w:vAlign w:val="bottom"/>
          </w:tcPr>
          <w:p>
            <w:pPr>
              <w:spacing w:after="0"/>
              <w:rPr>
                <w:sz w:val="1"/>
                <w:szCs w:val="1"/>
                <w:color w:val="auto"/>
              </w:rPr>
            </w:pPr>
          </w:p>
        </w:tc>
      </w:tr>
      <w:tr>
        <w:trPr>
          <w:trHeight w:val="202"/>
        </w:trPr>
        <w:tc>
          <w:tcPr>
            <w:tcW w:w="6620" w:type="dxa"/>
            <w:vAlign w:val="bottom"/>
          </w:tcPr>
          <w:p>
            <w:pPr>
              <w:spacing w:after="0"/>
              <w:rPr>
                <w:sz w:val="20"/>
                <w:szCs w:val="20"/>
                <w:color w:val="auto"/>
              </w:rPr>
            </w:pPr>
            <w:r>
              <w:rPr>
                <w:rFonts w:ascii="Arial" w:cs="Arial" w:eastAsia="Arial" w:hAnsi="Arial"/>
                <w:sz w:val="14"/>
                <w:szCs w:val="14"/>
                <w:color w:val="auto"/>
              </w:rPr>
              <w:t>Leasing equipment, net</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36,178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36,570</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 net</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149,274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133,493</w:t>
            </w:r>
          </w:p>
        </w:tc>
        <w:tc>
          <w:tcPr>
            <w:tcW w:w="0" w:type="dxa"/>
            <w:vAlign w:val="bottom"/>
          </w:tcPr>
          <w:p>
            <w:pPr>
              <w:spacing w:after="0"/>
              <w:rPr>
                <w:sz w:val="1"/>
                <w:szCs w:val="1"/>
                <w:color w:val="auto"/>
              </w:rPr>
            </w:pPr>
          </w:p>
        </w:tc>
      </w:tr>
      <w:tr>
        <w:trPr>
          <w:trHeight w:val="202"/>
        </w:trPr>
        <w:tc>
          <w:tcPr>
            <w:tcW w:w="66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4,576,463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4,581,771</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7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21,726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22,243</w:t>
            </w:r>
          </w:p>
        </w:tc>
        <w:tc>
          <w:tcPr>
            <w:tcW w:w="0" w:type="dxa"/>
            <w:vAlign w:val="bottom"/>
          </w:tcPr>
          <w:p>
            <w:pPr>
              <w:spacing w:after="0"/>
              <w:rPr>
                <w:sz w:val="1"/>
                <w:szCs w:val="1"/>
                <w:color w:val="auto"/>
              </w:rPr>
            </w:pPr>
          </w:p>
        </w:tc>
      </w:tr>
      <w:tr>
        <w:trPr>
          <w:trHeight w:val="202"/>
        </w:trPr>
        <w:tc>
          <w:tcPr>
            <w:tcW w:w="6620" w:type="dxa"/>
            <w:vAlign w:val="bottom"/>
          </w:tcPr>
          <w:p>
            <w:pPr>
              <w:spacing w:after="0"/>
              <w:rPr>
                <w:sz w:val="20"/>
                <w:szCs w:val="20"/>
                <w:color w:val="auto"/>
              </w:rPr>
            </w:pPr>
            <w:r>
              <w:rPr>
                <w:rFonts w:ascii="Arial" w:cs="Arial" w:eastAsia="Arial" w:hAnsi="Arial"/>
                <w:sz w:val="14"/>
                <w:szCs w:val="14"/>
                <w:color w:val="auto"/>
              </w:rPr>
              <w:t>Intangible assets, net</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42,170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43,173</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365,703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365,703</w:t>
            </w:r>
          </w:p>
        </w:tc>
        <w:tc>
          <w:tcPr>
            <w:tcW w:w="0" w:type="dxa"/>
            <w:vAlign w:val="bottom"/>
          </w:tcPr>
          <w:p>
            <w:pPr>
              <w:spacing w:after="0"/>
              <w:rPr>
                <w:sz w:val="1"/>
                <w:szCs w:val="1"/>
                <w:color w:val="auto"/>
              </w:rPr>
            </w:pPr>
          </w:p>
        </w:tc>
      </w:tr>
      <w:tr>
        <w:trPr>
          <w:trHeight w:val="202"/>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99,441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81,697</w:t>
            </w:r>
          </w:p>
        </w:tc>
        <w:tc>
          <w:tcPr>
            <w:tcW w:w="0" w:type="dxa"/>
            <w:vAlign w:val="bottom"/>
          </w:tcPr>
          <w:p>
            <w:pPr>
              <w:spacing w:after="0"/>
              <w:rPr>
                <w:sz w:val="1"/>
                <w:szCs w:val="1"/>
                <w:color w:val="auto"/>
              </w:rPr>
            </w:pPr>
          </w:p>
        </w:tc>
      </w:tr>
      <w:tr>
        <w:trPr>
          <w:trHeight w:val="222"/>
        </w:trPr>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7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5,688,532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5,748,661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20" w:type="dxa"/>
            <w:vAlign w:val="bottom"/>
          </w:tcPr>
          <w:p>
            <w:pPr>
              <w:spacing w:after="0"/>
              <w:rPr>
                <w:sz w:val="20"/>
                <w:szCs w:val="20"/>
                <w:color w:val="auto"/>
              </w:rPr>
            </w:pPr>
            <w:r>
              <w:rPr>
                <w:rFonts w:ascii="Arial" w:cs="Arial" w:eastAsia="Arial" w:hAnsi="Arial"/>
                <w:sz w:val="14"/>
                <w:szCs w:val="14"/>
                <w:color w:val="auto"/>
              </w:rPr>
              <w:t>Current liabilities: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251,870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280,707</w:t>
            </w:r>
          </w:p>
        </w:tc>
        <w:tc>
          <w:tcPr>
            <w:tcW w:w="0" w:type="dxa"/>
            <w:vAlign w:val="bottom"/>
          </w:tcPr>
          <w:p>
            <w:pPr>
              <w:spacing w:after="0"/>
              <w:rPr>
                <w:sz w:val="1"/>
                <w:szCs w:val="1"/>
                <w:color w:val="auto"/>
              </w:rPr>
            </w:pPr>
          </w:p>
        </w:tc>
      </w:tr>
      <w:tr>
        <w:trPr>
          <w:trHeight w:val="202"/>
        </w:trPr>
        <w:tc>
          <w:tcPr>
            <w:tcW w:w="6620" w:type="dxa"/>
            <w:vAlign w:val="bottom"/>
          </w:tcPr>
          <w:p>
            <w:pPr>
              <w:ind w:left="120"/>
              <w:spacing w:after="0"/>
              <w:rPr>
                <w:sz w:val="20"/>
                <w:szCs w:val="20"/>
                <w:color w:val="auto"/>
              </w:rPr>
            </w:pPr>
            <w:r>
              <w:rPr>
                <w:rFonts w:ascii="Arial" w:cs="Arial" w:eastAsia="Arial" w:hAnsi="Arial"/>
                <w:sz w:val="14"/>
                <w:szCs w:val="14"/>
                <w:color w:val="auto"/>
              </w:rPr>
              <w:t>Debt, net</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25,433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65,438</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liabilities</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9,108</w:t>
            </w:r>
          </w:p>
        </w:tc>
        <w:tc>
          <w:tcPr>
            <w:tcW w:w="0" w:type="dxa"/>
            <w:vAlign w:val="bottom"/>
          </w:tcPr>
          <w:p>
            <w:pPr>
              <w:spacing w:after="0"/>
              <w:rPr>
                <w:sz w:val="1"/>
                <w:szCs w:val="1"/>
                <w:color w:val="auto"/>
              </w:rPr>
            </w:pPr>
          </w:p>
        </w:tc>
      </w:tr>
      <w:tr>
        <w:trPr>
          <w:trHeight w:val="202"/>
        </w:trPr>
        <w:tc>
          <w:tcPr>
            <w:tcW w:w="6620" w:type="dxa"/>
            <w:vAlign w:val="bottom"/>
          </w:tcPr>
          <w:p>
            <w:pPr>
              <w:ind w:left="120"/>
              <w:spacing w:after="0"/>
              <w:rPr>
                <w:sz w:val="20"/>
                <w:szCs w:val="20"/>
                <w:color w:val="auto"/>
              </w:rPr>
            </w:pPr>
            <w:r>
              <w:rPr>
                <w:rFonts w:ascii="Arial" w:cs="Arial" w:eastAsia="Arial" w:hAnsi="Arial"/>
                <w:sz w:val="14"/>
                <w:szCs w:val="14"/>
                <w:color w:val="auto"/>
              </w:rPr>
              <w:t>Derivative liabilities</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50,290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34,381</w:t>
            </w:r>
          </w:p>
        </w:tc>
        <w:tc>
          <w:tcPr>
            <w:tcW w:w="0" w:type="dxa"/>
            <w:vAlign w:val="bottom"/>
          </w:tcPr>
          <w:p>
            <w:pPr>
              <w:spacing w:after="0"/>
              <w:rPr>
                <w:sz w:val="1"/>
                <w:szCs w:val="1"/>
                <w:color w:val="auto"/>
              </w:rPr>
            </w:pPr>
          </w:p>
        </w:tc>
      </w:tr>
      <w:tr>
        <w:trPr>
          <w:trHeight w:val="204"/>
        </w:trPr>
        <w:tc>
          <w:tcPr>
            <w:tcW w:w="6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liabilities</w:t>
            </w:r>
          </w:p>
        </w:tc>
        <w:tc>
          <w:tcPr>
            <w:tcW w:w="7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23,039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20,363</w:t>
            </w:r>
          </w:p>
        </w:tc>
        <w:tc>
          <w:tcPr>
            <w:tcW w:w="0" w:type="dxa"/>
            <w:vAlign w:val="bottom"/>
          </w:tcPr>
          <w:p>
            <w:pPr>
              <w:spacing w:after="0"/>
              <w:rPr>
                <w:sz w:val="1"/>
                <w:szCs w:val="1"/>
                <w:color w:val="auto"/>
              </w:rPr>
            </w:pPr>
          </w:p>
        </w:tc>
      </w:tr>
      <w:tr>
        <w:trPr>
          <w:trHeight w:val="195"/>
        </w:trPr>
        <w:tc>
          <w:tcPr>
            <w:tcW w:w="662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361,722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409,997</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Debt, net</w:t>
            </w:r>
          </w:p>
        </w:tc>
        <w:tc>
          <w:tcPr>
            <w:tcW w:w="7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3,787,717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3,708,735</w:t>
            </w:r>
          </w:p>
        </w:tc>
        <w:tc>
          <w:tcPr>
            <w:tcW w:w="0" w:type="dxa"/>
            <w:vAlign w:val="bottom"/>
          </w:tcPr>
          <w:p>
            <w:pPr>
              <w:spacing w:after="0"/>
              <w:rPr>
                <w:sz w:val="1"/>
                <w:szCs w:val="1"/>
                <w:color w:val="auto"/>
              </w:rPr>
            </w:pPr>
          </w:p>
        </w:tc>
      </w:tr>
      <w:tr>
        <w:trPr>
          <w:trHeight w:val="202"/>
        </w:trPr>
        <w:tc>
          <w:tcPr>
            <w:tcW w:w="6620" w:type="dxa"/>
            <w:vAlign w:val="bottom"/>
          </w:tcPr>
          <w:p>
            <w:pPr>
              <w:spacing w:after="0"/>
              <w:rPr>
                <w:sz w:val="20"/>
                <w:szCs w:val="20"/>
                <w:color w:val="auto"/>
              </w:rPr>
            </w:pPr>
            <w:r>
              <w:rPr>
                <w:rFonts w:ascii="Arial" w:cs="Arial" w:eastAsia="Arial" w:hAnsi="Arial"/>
                <w:sz w:val="14"/>
                <w:szCs w:val="14"/>
                <w:color w:val="auto"/>
              </w:rPr>
              <w:t>Operating lease liabilities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85,484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71,000</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7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158,648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189,116</w:t>
            </w:r>
          </w:p>
        </w:tc>
        <w:tc>
          <w:tcPr>
            <w:tcW w:w="0" w:type="dxa"/>
            <w:vAlign w:val="bottom"/>
          </w:tcPr>
          <w:p>
            <w:pPr>
              <w:spacing w:after="0"/>
              <w:rPr>
                <w:sz w:val="1"/>
                <w:szCs w:val="1"/>
                <w:color w:val="auto"/>
              </w:rPr>
            </w:pPr>
          </w:p>
        </w:tc>
      </w:tr>
      <w:tr>
        <w:trPr>
          <w:trHeight w:val="201"/>
        </w:trPr>
        <w:tc>
          <w:tcPr>
            <w:tcW w:w="6620" w:type="dxa"/>
            <w:vAlign w:val="bottom"/>
          </w:tcPr>
          <w:p>
            <w:pPr>
              <w:spacing w:after="0"/>
              <w:rPr>
                <w:sz w:val="20"/>
                <w:szCs w:val="20"/>
                <w:color w:val="auto"/>
              </w:rPr>
            </w:pPr>
            <w:r>
              <w:rPr>
                <w:rFonts w:ascii="Arial" w:cs="Arial" w:eastAsia="Arial" w:hAnsi="Arial"/>
                <w:sz w:val="14"/>
                <w:szCs w:val="14"/>
                <w:color w:val="auto"/>
              </w:rPr>
              <w:t>Warrant liabilities</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82,506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81,599</w:t>
            </w:r>
          </w:p>
        </w:tc>
        <w:tc>
          <w:tcPr>
            <w:tcW w:w="0" w:type="dxa"/>
            <w:vAlign w:val="bottom"/>
          </w:tcPr>
          <w:p>
            <w:pPr>
              <w:spacing w:after="0"/>
              <w:rPr>
                <w:sz w:val="1"/>
                <w:szCs w:val="1"/>
                <w:color w:val="auto"/>
              </w:rPr>
            </w:pPr>
          </w:p>
        </w:tc>
      </w:tr>
      <w:tr>
        <w:trPr>
          <w:trHeight w:val="204"/>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 liabilities</w:t>
            </w:r>
          </w:p>
        </w:tc>
        <w:tc>
          <w:tcPr>
            <w:tcW w:w="7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301,831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300,231</w:t>
            </w:r>
          </w:p>
        </w:tc>
        <w:tc>
          <w:tcPr>
            <w:tcW w:w="0" w:type="dxa"/>
            <w:vAlign w:val="bottom"/>
          </w:tcPr>
          <w:p>
            <w:pPr>
              <w:spacing w:after="0"/>
              <w:rPr>
                <w:sz w:val="1"/>
                <w:szCs w:val="1"/>
                <w:color w:val="auto"/>
              </w:rPr>
            </w:pPr>
          </w:p>
        </w:tc>
      </w:tr>
      <w:tr>
        <w:trPr>
          <w:trHeight w:val="201"/>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liabilities</w:t>
            </w:r>
          </w:p>
        </w:tc>
        <w:tc>
          <w:tcPr>
            <w:tcW w:w="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90,562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44,000</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7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4,868,470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4,804,678</w:t>
            </w:r>
          </w:p>
        </w:tc>
        <w:tc>
          <w:tcPr>
            <w:tcW w:w="0" w:type="dxa"/>
            <w:vAlign w:val="bottom"/>
          </w:tcPr>
          <w:p>
            <w:pPr>
              <w:spacing w:after="0"/>
              <w:rPr>
                <w:sz w:val="1"/>
                <w:szCs w:val="1"/>
                <w:color w:val="auto"/>
              </w:rPr>
            </w:pPr>
          </w:p>
        </w:tc>
      </w:tr>
      <w:tr>
        <w:trPr>
          <w:trHeight w:val="130"/>
        </w:trPr>
        <w:tc>
          <w:tcPr>
            <w:tcW w:w="6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7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2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 xml:space="preserve">Redeemable convertible preferred stock Series B </w:t>
            </w:r>
            <w:r>
              <w:rPr>
                <w:rFonts w:ascii="Arial" w:cs="Arial" w:eastAsia="Arial" w:hAnsi="Arial"/>
                <w:sz w:val="14"/>
                <w:szCs w:val="14"/>
                <w:color w:val="auto"/>
              </w:rPr>
              <w:t>($0.01 par value per share; 200,000,000 total</w:t>
            </w: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preferred shares authorized; 160,000 Series B shares issued and outstanding as of March 31, 2026</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and December 31, 2025; redemption amount of $192.0 million and $192.0 million at March 31, 2026</w:t>
            </w:r>
          </w:p>
        </w:tc>
        <w:tc>
          <w:tcPr>
            <w:tcW w:w="740" w:type="dxa"/>
            <w:vAlign w:val="bottom"/>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152,642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152,642</w:t>
            </w:r>
          </w:p>
        </w:tc>
        <w:tc>
          <w:tcPr>
            <w:tcW w:w="0" w:type="dxa"/>
            <w:vAlign w:val="bottom"/>
          </w:tcPr>
          <w:p>
            <w:pPr>
              <w:spacing w:after="0"/>
              <w:rPr>
                <w:sz w:val="1"/>
                <w:szCs w:val="1"/>
                <w:color w:val="auto"/>
              </w:rPr>
            </w:pPr>
          </w:p>
        </w:tc>
      </w:tr>
      <w:tr>
        <w:trPr>
          <w:trHeight w:val="198"/>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and December 31, 2025, respectively)</w:t>
            </w:r>
          </w:p>
        </w:tc>
        <w:tc>
          <w:tcPr>
            <w:tcW w:w="7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620" w:type="dxa"/>
            <w:vAlign w:val="bottom"/>
          </w:tcPr>
          <w:p>
            <w:pPr>
              <w:spacing w:after="0" w:line="153" w:lineRule="exact"/>
              <w:rPr>
                <w:sz w:val="20"/>
                <w:szCs w:val="20"/>
                <w:color w:val="auto"/>
              </w:rPr>
            </w:pPr>
            <w:r>
              <w:rPr>
                <w:rFonts w:ascii="Arial" w:cs="Arial" w:eastAsia="Arial" w:hAnsi="Arial"/>
                <w:sz w:val="14"/>
                <w:szCs w:val="14"/>
                <w:b w:val="1"/>
                <w:bCs w:val="1"/>
                <w:color w:val="auto"/>
              </w:rPr>
              <w:t xml:space="preserve">Redeemable preferred stock Series A RailCo - Non-controlling interest </w:t>
            </w:r>
            <w:r>
              <w:rPr>
                <w:rFonts w:ascii="Arial" w:cs="Arial" w:eastAsia="Arial" w:hAnsi="Arial"/>
                <w:sz w:val="14"/>
                <w:szCs w:val="14"/>
                <w:color w:val="auto"/>
              </w:rPr>
              <w:t>(zero par value per share;</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20" w:type="dxa"/>
            <w:vAlign w:val="bottom"/>
          </w:tcPr>
          <w:p>
            <w:pPr>
              <w:spacing w:after="0" w:line="145" w:lineRule="exact"/>
              <w:rPr>
                <w:sz w:val="20"/>
                <w:szCs w:val="20"/>
                <w:color w:val="auto"/>
              </w:rPr>
            </w:pPr>
            <w:r>
              <w:rPr>
                <w:rFonts w:ascii="Arial" w:cs="Arial" w:eastAsia="Arial" w:hAnsi="Arial"/>
                <w:sz w:val="14"/>
                <w:szCs w:val="14"/>
                <w:color w:val="auto"/>
              </w:rPr>
              <w:t>1,000,000  total  preferred  shares  authorized;  1,000,000  Series  A  -  RailCo  shares  issued  and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20" w:type="dxa"/>
            <w:vAlign w:val="bottom"/>
          </w:tcPr>
          <w:p>
            <w:pPr>
              <w:spacing w:after="0" w:line="139" w:lineRule="exact"/>
              <w:rPr>
                <w:sz w:val="20"/>
                <w:szCs w:val="20"/>
                <w:color w:val="auto"/>
              </w:rPr>
            </w:pPr>
            <w:r>
              <w:rPr>
                <w:rFonts w:ascii="Arial" w:cs="Arial" w:eastAsia="Arial" w:hAnsi="Arial"/>
                <w:sz w:val="14"/>
                <w:szCs w:val="14"/>
                <w:color w:val="auto"/>
              </w:rPr>
              <w:t>outstanding as of March 31, 2026 and December 31, 2025; redemption amount of $1.4 billion and</w:t>
            </w:r>
          </w:p>
        </w:tc>
        <w:tc>
          <w:tcPr>
            <w:tcW w:w="740" w:type="dxa"/>
            <w:vAlign w:val="bottom"/>
            <w:vMerge w:val="restart"/>
          </w:tcPr>
          <w:p>
            <w:pPr>
              <w:jc w:val="center"/>
              <w:ind w:right="10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2"/>
                <w:szCs w:val="12"/>
                <w:color w:val="auto"/>
              </w:rPr>
            </w:pPr>
          </w:p>
        </w:tc>
        <w:tc>
          <w:tcPr>
            <w:tcW w:w="1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970,516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937,578</w:t>
            </w:r>
          </w:p>
        </w:tc>
        <w:tc>
          <w:tcPr>
            <w:tcW w:w="0" w:type="dxa"/>
            <w:vAlign w:val="bottom"/>
          </w:tcPr>
          <w:p>
            <w:pPr>
              <w:spacing w:after="0"/>
              <w:rPr>
                <w:sz w:val="1"/>
                <w:szCs w:val="1"/>
                <w:color w:val="auto"/>
              </w:rPr>
            </w:pPr>
          </w:p>
        </w:tc>
      </w:tr>
      <w:tr>
        <w:trPr>
          <w:trHeight w:val="197"/>
        </w:trPr>
        <w:tc>
          <w:tcPr>
            <w:tcW w:w="6620" w:type="dxa"/>
            <w:vAlign w:val="bottom"/>
          </w:tcPr>
          <w:p>
            <w:pPr>
              <w:spacing w:after="0"/>
              <w:rPr>
                <w:sz w:val="20"/>
                <w:szCs w:val="20"/>
                <w:color w:val="auto"/>
              </w:rPr>
            </w:pPr>
            <w:r>
              <w:rPr>
                <w:rFonts w:ascii="Arial" w:cs="Arial" w:eastAsia="Arial" w:hAnsi="Arial"/>
                <w:sz w:val="14"/>
                <w:szCs w:val="14"/>
                <w:color w:val="auto"/>
              </w:rPr>
              <w:t>$1.4 billion at March 31, 2026 and December 31, 2025, respectively)</w:t>
            </w: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62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Common stock ($0.01 par value per share; 2,000,000,000 shares authorized; 118,163,555 and</w:t>
            </w: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116,294,461 shares issued and outstanding as of March 31, 2026 and December 31, 2025,</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respectively)</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20" w:type="dxa"/>
            <w:vAlign w:val="bottom"/>
          </w:tcPr>
          <w:p>
            <w:pPr>
              <w:spacing w:after="0"/>
              <w:rPr>
                <w:sz w:val="20"/>
                <w:szCs w:val="20"/>
                <w:color w:val="auto"/>
              </w:rPr>
            </w:pPr>
            <w:r>
              <w:rPr>
                <w:rFonts w:ascii="Arial" w:cs="Arial" w:eastAsia="Arial" w:hAnsi="Arial"/>
                <w:sz w:val="14"/>
                <w:szCs w:val="14"/>
                <w:color w:val="auto"/>
              </w:rPr>
              <w:t>Additional paid in capital</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589,593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623,771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97F"/>
        </w:rPr>
        <w:t>FTAI INFRASTRUCTURE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COMBINED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(625,943)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(512,992)</w:t>
            </w:r>
          </w:p>
        </w:tc>
      </w:tr>
      <w:tr>
        <w:trPr>
          <w:trHeight w:val="201"/>
        </w:trPr>
        <w:tc>
          <w:tcPr>
            <w:tcW w:w="7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Accumulated other comprehensive loss</w:t>
            </w:r>
          </w:p>
        </w:tc>
        <w:tc>
          <w:tcPr>
            <w:tcW w:w="6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(87,295)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(90,618)</w:t>
            </w:r>
          </w:p>
        </w:tc>
      </w:tr>
      <w:tr>
        <w:trPr>
          <w:trHeight w:val="197"/>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(122,463)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21,324</w:t>
            </w:r>
          </w:p>
        </w:tc>
      </w:tr>
      <w:tr>
        <w:trPr>
          <w:trHeight w:val="202"/>
        </w:trPr>
        <w:tc>
          <w:tcPr>
            <w:tcW w:w="7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Non-controlling interest in equity of consolidated subsidiaries</w:t>
            </w:r>
          </w:p>
        </w:tc>
        <w:tc>
          <w:tcPr>
            <w:tcW w:w="6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(180,633)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(167,561)</w:t>
            </w:r>
          </w:p>
        </w:tc>
      </w:tr>
      <w:tr>
        <w:trPr>
          <w:trHeight w:val="196"/>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equity</w:t>
            </w:r>
          </w:p>
        </w:tc>
        <w:tc>
          <w:tcPr>
            <w:tcW w:w="6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(303,096)</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(146,237)</w:t>
            </w:r>
          </w:p>
        </w:tc>
      </w:tr>
      <w:tr>
        <w:trPr>
          <w:trHeight w:val="197"/>
        </w:trPr>
        <w:tc>
          <w:tcPr>
            <w:tcW w:w="7360" w:type="dxa"/>
            <w:vAlign w:val="bottom"/>
          </w:tcPr>
          <w:p>
            <w:pPr>
              <w:ind w:left="340"/>
              <w:spacing w:after="0"/>
              <w:rPr>
                <w:sz w:val="20"/>
                <w:szCs w:val="20"/>
                <w:color w:val="auto"/>
              </w:rPr>
            </w:pPr>
            <w:r>
              <w:rPr>
                <w:rFonts w:ascii="Arial" w:cs="Arial" w:eastAsia="Arial" w:hAnsi="Arial"/>
                <w:sz w:val="14"/>
                <w:szCs w:val="14"/>
                <w:color w:val="auto"/>
              </w:rPr>
              <w:t>Total liabilities, redeemable preferred stock and equity</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5,688,532</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5,748,661</w:t>
            </w:r>
          </w:p>
        </w:tc>
      </w:tr>
      <w:tr>
        <w:trPr>
          <w:trHeight w:val="20"/>
        </w:trPr>
        <w:tc>
          <w:tcPr>
            <w:tcW w:w="7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CONSOLIDATED STATEMENTS OF OPERATIONS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340" w:type="dxa"/>
            <w:vAlign w:val="bottom"/>
          </w:tcPr>
          <w:p>
            <w:pPr>
              <w:spacing w:after="0"/>
              <w:rPr>
                <w:sz w:val="17"/>
                <w:szCs w:val="17"/>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4"/>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680" w:type="dxa"/>
            <w:vAlign w:val="bottom"/>
          </w:tcPr>
          <w:p>
            <w:pPr>
              <w:jc w:val="center"/>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188,364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96,161</w:t>
            </w:r>
          </w:p>
        </w:tc>
        <w:tc>
          <w:tcPr>
            <w:tcW w:w="0" w:type="dxa"/>
            <w:vAlign w:val="bottom"/>
          </w:tcPr>
          <w:p>
            <w:pPr>
              <w:spacing w:after="0"/>
              <w:rPr>
                <w:sz w:val="1"/>
                <w:szCs w:val="1"/>
                <w:color w:val="auto"/>
              </w:rPr>
            </w:pPr>
          </w:p>
        </w:tc>
      </w:tr>
      <w:tr>
        <w:trPr>
          <w:trHeight w:val="271"/>
        </w:trPr>
        <w:tc>
          <w:tcPr>
            <w:tcW w:w="7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120,394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67,045</w:t>
            </w: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3,554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5,113</w:t>
            </w: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80" w:type="dxa"/>
            <w:vAlign w:val="bottom"/>
          </w:tcPr>
          <w:p>
            <w:pPr>
              <w:jc w:val="center"/>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4,092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50,691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25,012</w:t>
            </w:r>
          </w:p>
        </w:tc>
        <w:tc>
          <w:tcPr>
            <w:tcW w:w="0" w:type="dxa"/>
            <w:vAlign w:val="bottom"/>
          </w:tcPr>
          <w:p>
            <w:pPr>
              <w:spacing w:after="0"/>
              <w:rPr>
                <w:sz w:val="1"/>
                <w:szCs w:val="1"/>
                <w:color w:val="auto"/>
              </w:rPr>
            </w:pPr>
          </w:p>
        </w:tc>
      </w:tr>
      <w:tr>
        <w:trPr>
          <w:trHeight w:val="195"/>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6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185,551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103,227</w:t>
            </w:r>
          </w:p>
        </w:tc>
        <w:tc>
          <w:tcPr>
            <w:tcW w:w="0" w:type="dxa"/>
            <w:vAlign w:val="bottom"/>
          </w:tcPr>
          <w:p>
            <w:pPr>
              <w:spacing w:after="0"/>
              <w:rPr>
                <w:sz w:val="1"/>
                <w:szCs w:val="1"/>
                <w:color w:val="auto"/>
              </w:rPr>
            </w:pPr>
          </w:p>
        </w:tc>
      </w:tr>
      <w:tr>
        <w:trPr>
          <w:trHeight w:val="251"/>
        </w:trPr>
        <w:tc>
          <w:tcPr>
            <w:tcW w:w="7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5,314</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119,828</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(45,914)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(82,487)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(43,112)</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95"/>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6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(126,501)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85,716</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(123,688)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78,650</w:t>
            </w:r>
          </w:p>
        </w:tc>
        <w:tc>
          <w:tcPr>
            <w:tcW w:w="0" w:type="dxa"/>
            <w:vAlign w:val="bottom"/>
          </w:tcPr>
          <w:p>
            <w:pPr>
              <w:spacing w:after="0"/>
              <w:rPr>
                <w:sz w:val="1"/>
                <w:szCs w:val="1"/>
                <w:color w:val="auto"/>
              </w:rPr>
            </w:pPr>
          </w:p>
        </w:tc>
      </w:tr>
      <w:tr>
        <w:trPr>
          <w:trHeight w:val="202"/>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(41,514)</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(127,211)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120,164</w:t>
            </w:r>
          </w:p>
        </w:tc>
        <w:tc>
          <w:tcPr>
            <w:tcW w:w="0" w:type="dxa"/>
            <w:vAlign w:val="bottom"/>
          </w:tcPr>
          <w:p>
            <w:pPr>
              <w:spacing w:after="0"/>
              <w:rPr>
                <w:sz w:val="1"/>
                <w:szCs w:val="1"/>
                <w:color w:val="auto"/>
              </w:rPr>
            </w:pPr>
          </w:p>
        </w:tc>
      </w:tr>
      <w:tr>
        <w:trPr>
          <w:trHeight w:val="195"/>
        </w:trPr>
        <w:tc>
          <w:tcPr>
            <w:tcW w:w="716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 - common stockholders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(14,260)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(11,401)</w:t>
            </w: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Preferred dividends and accretion on redeemable non-controlling interests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color w:val="auto"/>
              </w:rPr>
              <w:t>Less: Dividends and accretion of redeemable preferred stock</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21,841</w:t>
            </w:r>
          </w:p>
        </w:tc>
        <w:tc>
          <w:tcPr>
            <w:tcW w:w="0" w:type="dxa"/>
            <w:vAlign w:val="bottom"/>
          </w:tcPr>
          <w:p>
            <w:pPr>
              <w:spacing w:after="0"/>
              <w:rPr>
                <w:sz w:val="1"/>
                <w:szCs w:val="1"/>
                <w:color w:val="auto"/>
              </w:rPr>
            </w:pPr>
          </w:p>
        </w:tc>
      </w:tr>
      <w:tr>
        <w:trPr>
          <w:trHeight w:val="134"/>
        </w:trPr>
        <w:tc>
          <w:tcPr>
            <w:tcW w:w="716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Net (loss) income attributable to stockholders, before series B preferred stock dividend and loss on</w:t>
            </w:r>
          </w:p>
        </w:tc>
        <w:tc>
          <w:tcPr>
            <w:tcW w:w="6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(150,172)</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109,724</w:t>
            </w:r>
          </w:p>
        </w:tc>
        <w:tc>
          <w:tcPr>
            <w:tcW w:w="0" w:type="dxa"/>
            <w:vAlign w:val="bottom"/>
          </w:tcPr>
          <w:p>
            <w:pPr>
              <w:spacing w:after="0"/>
              <w:rPr>
                <w:sz w:val="1"/>
                <w:szCs w:val="1"/>
                <w:color w:val="auto"/>
              </w:rPr>
            </w:pPr>
          </w:p>
        </w:tc>
      </w:tr>
      <w:tr>
        <w:trPr>
          <w:trHeight w:val="178"/>
        </w:trPr>
        <w:tc>
          <w:tcPr>
            <w:tcW w:w="716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extinguishment of preferred stock</w:t>
            </w: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common stockholders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(154,525)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108,257</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Basic</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116,689,474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114,101,860</w:t>
            </w:r>
          </w:p>
        </w:tc>
        <w:tc>
          <w:tcPr>
            <w:tcW w:w="0" w:type="dxa"/>
            <w:vAlign w:val="bottom"/>
          </w:tcPr>
          <w:p>
            <w:pPr>
              <w:spacing w:after="0"/>
              <w:rPr>
                <w:sz w:val="1"/>
                <w:szCs w:val="1"/>
                <w:color w:val="auto"/>
              </w:rPr>
            </w:pPr>
          </w:p>
        </w:tc>
      </w:tr>
      <w:tr>
        <w:trPr>
          <w:trHeight w:val="200"/>
        </w:trPr>
        <w:tc>
          <w:tcPr>
            <w:tcW w:w="7160" w:type="dxa"/>
            <w:vAlign w:val="bottom"/>
          </w:tcPr>
          <w:p>
            <w:pPr>
              <w:ind w:left="20"/>
              <w:spacing w:after="0"/>
              <w:rPr>
                <w:sz w:val="20"/>
                <w:szCs w:val="20"/>
                <w:color w:val="auto"/>
              </w:rPr>
            </w:pPr>
            <w:r>
              <w:rPr>
                <w:rFonts w:ascii="Arial" w:cs="Arial" w:eastAsia="Arial" w:hAnsi="Arial"/>
                <w:sz w:val="14"/>
                <w:szCs w:val="14"/>
                <w:color w:val="auto"/>
              </w:rPr>
              <w:t>Diluted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116,689,474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122,758,859</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CONSOLIDATED STATEMENTS OF COMPREHENSIVE (LOSS) INCOME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r>
      <w:tr>
        <w:trPr>
          <w:trHeight w:val="197"/>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(127,211)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120,164</w:t>
            </w:r>
          </w:p>
        </w:tc>
      </w:tr>
      <w:tr>
        <w:trPr>
          <w:trHeight w:val="198"/>
        </w:trPr>
        <w:tc>
          <w:tcPr>
            <w:tcW w:w="79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Other comprehensive income related to derivatives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3,854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158,552</w:t>
            </w:r>
          </w:p>
        </w:tc>
      </w:tr>
      <w:tr>
        <w:trPr>
          <w:trHeight w:val="201"/>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Change in pension and other employee benefit accounts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r>
      <w:tr>
        <w:trPr>
          <w:trHeight w:val="197"/>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 income</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(123,888)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278,158</w:t>
            </w:r>
          </w:p>
        </w:tc>
      </w:tr>
      <w:tr>
        <w:trPr>
          <w:trHeight w:val="202"/>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Comprehensive loss attributable to non-controlling interests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(14,260)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(11,401)</w:t>
            </w:r>
          </w:p>
        </w:tc>
      </w:tr>
      <w:tr>
        <w:trPr>
          <w:trHeight w:val="222"/>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 income attributable to stockholders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(109,628)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289,559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w:t>
      </w:r>
    </w:p>
    <w:p>
      <w:pPr>
        <w:spacing w:after="0" w:line="9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Net of deferred tax benefit of $— million and $9.2 million for the three months ended March 31, 2026 and 2025, respectively.</w:t>
      </w:r>
    </w:p>
    <w:p>
      <w:pPr>
        <w:spacing w:after="0" w:line="108" w:lineRule="exact"/>
        <w:rPr>
          <w:rFonts w:ascii="Arial" w:cs="Arial" w:eastAsia="Arial" w:hAnsi="Arial"/>
          <w:sz w:val="16"/>
          <w:szCs w:val="16"/>
          <w:color w:val="auto"/>
          <w:vertAlign w:val="superscript"/>
        </w:rPr>
      </w:pPr>
    </w:p>
    <w:p>
      <w:pPr>
        <w:ind w:left="3380"/>
        <w:spacing w:after="0"/>
        <w:rPr>
          <w:rFonts w:ascii="Arial" w:cs="Arial" w:eastAsia="Arial" w:hAnsi="Arial"/>
          <w:sz w:val="16"/>
          <w:szCs w:val="16"/>
          <w:color w:val="auto"/>
          <w:vertAlign w:val="superscript"/>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CONSOLIDATED STATEMENTS OF CHANGES IN EQUITY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Months Ended March 31, 2026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2"/>
                <w:szCs w:val="12"/>
                <w:color w:val="auto"/>
              </w:rPr>
            </w:pPr>
          </w:p>
        </w:tc>
        <w:tc>
          <w:tcPr>
            <w:tcW w:w="132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jc w:val="center"/>
              <w:ind w:right="120"/>
              <w:spacing w:after="0" w:line="145" w:lineRule="exact"/>
              <w:rPr>
                <w:sz w:val="20"/>
                <w:szCs w:val="20"/>
                <w:color w:val="auto"/>
              </w:rPr>
            </w:pPr>
            <w:r>
              <w:rPr>
                <w:rFonts w:ascii="Arial" w:cs="Arial" w:eastAsia="Arial" w:hAnsi="Arial"/>
                <w:sz w:val="14"/>
                <w:szCs w:val="14"/>
                <w:b w:val="1"/>
                <w:bCs w:val="1"/>
                <w:color w:val="auto"/>
              </w:rPr>
              <w:t>Interest in Equity</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Paid In</w:t>
            </w: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13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of Consolidated</w:t>
            </w:r>
          </w:p>
        </w:tc>
        <w:tc>
          <w:tcPr>
            <w:tcW w:w="10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6"/>
                <w:szCs w:val="16"/>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623,771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(512,992)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(167,561)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(146,237)</w:t>
            </w:r>
          </w:p>
        </w:tc>
        <w:tc>
          <w:tcPr>
            <w:tcW w:w="0" w:type="dxa"/>
            <w:vAlign w:val="bottom"/>
          </w:tcPr>
          <w:p>
            <w:pPr>
              <w:spacing w:after="0"/>
              <w:rPr>
                <w:sz w:val="1"/>
                <w:szCs w:val="1"/>
                <w:color w:val="auto"/>
              </w:rPr>
            </w:pPr>
          </w:p>
        </w:tc>
      </w:tr>
      <w:tr>
        <w:trPr>
          <w:trHeight w:val="201"/>
        </w:trPr>
        <w:tc>
          <w:tcPr>
            <w:tcW w:w="382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(112,951)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(14,260)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(127,211)</w:t>
            </w:r>
          </w:p>
        </w:tc>
        <w:tc>
          <w:tcPr>
            <w:tcW w:w="0" w:type="dxa"/>
            <w:vAlign w:val="bottom"/>
          </w:tcPr>
          <w:p>
            <w:pPr>
              <w:spacing w:after="0"/>
              <w:rPr>
                <w:sz w:val="1"/>
                <w:szCs w:val="1"/>
                <w:color w:val="auto"/>
              </w:rPr>
            </w:pPr>
          </w:p>
        </w:tc>
      </w:tr>
      <w:tr>
        <w:trPr>
          <w:trHeight w:val="204"/>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3,323</w:t>
            </w:r>
          </w:p>
        </w:tc>
        <w:tc>
          <w:tcPr>
            <w:tcW w:w="0" w:type="dxa"/>
            <w:vAlign w:val="bottom"/>
          </w:tcPr>
          <w:p>
            <w:pPr>
              <w:spacing w:after="0"/>
              <w:rPr>
                <w:sz w:val="1"/>
                <w:szCs w:val="1"/>
                <w:color w:val="auto"/>
              </w:rPr>
            </w:pPr>
          </w:p>
        </w:tc>
      </w:tr>
      <w:tr>
        <w:trPr>
          <w:trHeight w:val="195"/>
        </w:trPr>
        <w:tc>
          <w:tcPr>
            <w:tcW w:w="3820" w:type="dxa"/>
            <w:vAlign w:val="bottom"/>
            <w:gridSpan w:val="2"/>
          </w:tcPr>
          <w:p>
            <w:pPr>
              <w:ind w:left="240"/>
              <w:spacing w:after="0"/>
              <w:rPr>
                <w:sz w:val="20"/>
                <w:szCs w:val="20"/>
                <w:color w:val="auto"/>
              </w:rPr>
            </w:pPr>
            <w:r>
              <w:rPr>
                <w:rFonts w:ascii="Arial" w:cs="Arial" w:eastAsia="Arial" w:hAnsi="Arial"/>
                <w:sz w:val="14"/>
                <w:szCs w:val="14"/>
                <w:color w:val="auto"/>
              </w:rPr>
              <w:t>Total comprehensive (loss) income</w:t>
            </w:r>
          </w:p>
        </w:tc>
        <w:tc>
          <w:tcPr>
            <w:tcW w:w="14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(112,951)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3,323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(14,260)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(123,888)</w:t>
            </w: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(2,823)</w:t>
            </w:r>
          </w:p>
        </w:tc>
        <w:tc>
          <w:tcPr>
            <w:tcW w:w="0" w:type="dxa"/>
            <w:vAlign w:val="bottom"/>
          </w:tcPr>
          <w:p>
            <w:pPr>
              <w:spacing w:after="0"/>
              <w:rPr>
                <w:sz w:val="1"/>
                <w:szCs w:val="1"/>
                <w:color w:val="auto"/>
              </w:rPr>
            </w:pPr>
          </w:p>
        </w:tc>
      </w:tr>
      <w:tr>
        <w:trPr>
          <w:trHeight w:val="20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Issuance of common shares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w:t>
            </w:r>
          </w:p>
        </w:tc>
        <w:tc>
          <w:tcPr>
            <w:tcW w:w="0" w:type="dxa"/>
            <w:vAlign w:val="bottom"/>
          </w:tcPr>
          <w:p>
            <w:pPr>
              <w:spacing w:after="0"/>
              <w:rPr>
                <w:sz w:val="1"/>
                <w:szCs w:val="1"/>
                <w:color w:val="auto"/>
              </w:rPr>
            </w:pPr>
          </w:p>
        </w:tc>
      </w:tr>
      <w:tr>
        <w:trPr>
          <w:trHeight w:val="20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Dividends declared on common stock</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(3,545)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(3,545)</w:t>
            </w: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and accretion of redeemable preferred stock</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(37,221)</w:t>
            </w:r>
          </w:p>
        </w:tc>
        <w:tc>
          <w:tcPr>
            <w:tcW w:w="0" w:type="dxa"/>
            <w:vAlign w:val="bottom"/>
          </w:tcPr>
          <w:p>
            <w:pPr>
              <w:spacing w:after="0"/>
              <w:rPr>
                <w:sz w:val="1"/>
                <w:szCs w:val="1"/>
                <w:color w:val="auto"/>
              </w:rPr>
            </w:pPr>
          </w:p>
        </w:tc>
      </w:tr>
      <w:tr>
        <w:trPr>
          <w:trHeight w:val="202"/>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Equity-based compensation</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8,947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10,978</w:t>
            </w:r>
          </w:p>
        </w:tc>
        <w:tc>
          <w:tcPr>
            <w:tcW w:w="0" w:type="dxa"/>
            <w:vAlign w:val="bottom"/>
          </w:tcPr>
          <w:p>
            <w:pPr>
              <w:spacing w:after="0"/>
              <w:rPr>
                <w:sz w:val="1"/>
                <w:szCs w:val="1"/>
                <w:color w:val="auto"/>
              </w:rPr>
            </w:pPr>
          </w:p>
        </w:tc>
      </w:tr>
      <w:tr>
        <w:trPr>
          <w:trHeight w:val="222"/>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Equity -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589,593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(625,943)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(87,295)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(180,633)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(303,096)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3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 March 31, 2025</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2"/>
                <w:szCs w:val="12"/>
                <w:color w:val="auto"/>
              </w:rPr>
            </w:pPr>
          </w:p>
        </w:tc>
        <w:tc>
          <w:tcPr>
            <w:tcW w:w="1320" w:type="dxa"/>
            <w:vAlign w:val="bottom"/>
            <w:gridSpan w:val="4"/>
          </w:tcPr>
          <w:p>
            <w:pPr>
              <w:jc w:val="center"/>
              <w:ind w:right="100"/>
              <w:spacing w:after="0" w:line="143"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Interest in Equity</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Paid in</w:t>
            </w: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13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of Consolidated</w:t>
            </w:r>
          </w:p>
        </w:tc>
        <w:tc>
          <w:tcPr>
            <w:tcW w:w="10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764,381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rPr>
              <w:t>(405,818)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75,138</w:t>
            </w:r>
          </w:p>
        </w:tc>
        <w:tc>
          <w:tcPr>
            <w:tcW w:w="0" w:type="dxa"/>
            <w:vAlign w:val="bottom"/>
          </w:tcPr>
          <w:p>
            <w:pPr>
              <w:spacing w:after="0"/>
              <w:rPr>
                <w:sz w:val="1"/>
                <w:szCs w:val="1"/>
                <w:color w:val="auto"/>
              </w:rPr>
            </w:pPr>
          </w:p>
        </w:tc>
      </w:tr>
      <w:tr>
        <w:trPr>
          <w:trHeight w:val="198"/>
        </w:trPr>
        <w:tc>
          <w:tcPr>
            <w:tcW w:w="382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left="408"/>
              <w:spacing w:after="0"/>
              <w:rPr>
                <w:sz w:val="20"/>
                <w:szCs w:val="20"/>
                <w:color w:val="auto"/>
              </w:rPr>
            </w:pPr>
            <w:r>
              <w:rPr>
                <w:rFonts w:ascii="Arial" w:cs="Arial" w:eastAsia="Arial" w:hAnsi="Arial"/>
                <w:sz w:val="14"/>
                <w:szCs w:val="14"/>
                <w:color w:val="auto"/>
              </w:rPr>
              <w:t>131,565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120,164</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157,994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157,994</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40"/>
              <w:spacing w:after="0"/>
              <w:rPr>
                <w:sz w:val="20"/>
                <w:szCs w:val="20"/>
                <w:color w:val="auto"/>
              </w:rPr>
            </w:pPr>
            <w:r>
              <w:rPr>
                <w:rFonts w:ascii="Arial" w:cs="Arial" w:eastAsia="Arial" w:hAnsi="Arial"/>
                <w:sz w:val="14"/>
                <w:szCs w:val="14"/>
                <w:color w:val="auto"/>
              </w:rPr>
              <w:t>Total comprehensive income (loss)</w:t>
            </w:r>
          </w:p>
        </w:tc>
        <w:tc>
          <w:tcPr>
            <w:tcW w:w="14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center"/>
              <w:ind w:left="408"/>
              <w:spacing w:after="0"/>
              <w:rPr>
                <w:sz w:val="20"/>
                <w:szCs w:val="20"/>
                <w:color w:val="auto"/>
              </w:rPr>
            </w:pPr>
            <w:r>
              <w:rPr>
                <w:rFonts w:ascii="Arial" w:cs="Arial" w:eastAsia="Arial" w:hAnsi="Arial"/>
                <w:sz w:val="14"/>
                <w:szCs w:val="14"/>
                <w:color w:val="auto"/>
              </w:rPr>
              <w:t>131,565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157,994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278,158</w:t>
            </w: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Issuance of common shares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warrants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Issuance of Manager options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7,358</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on common stock</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Dividends and accretion of redeemable preferred stock</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(21,841)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(21,841)</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200"/>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 - March 31, 2025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748,365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388"/>
              <w:spacing w:after="0"/>
              <w:rPr>
                <w:sz w:val="20"/>
                <w:szCs w:val="20"/>
                <w:color w:val="auto"/>
              </w:rPr>
            </w:pPr>
            <w:r>
              <w:rPr>
                <w:rFonts w:ascii="Arial" w:cs="Arial" w:eastAsia="Arial" w:hAnsi="Arial"/>
                <w:sz w:val="14"/>
                <w:szCs w:val="14"/>
                <w:color w:val="auto"/>
              </w:rPr>
              <w:t>(274,253)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(139,101)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337,102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CONSOLIDATED STATEMENTS OF CASH FLOWS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8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(127,211)</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120,164</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(5,314)</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(119,952)</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45,914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10,978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50,691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25,012</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deferred income taxes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(41,827)</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3,876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2,908</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bond discount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12,155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Amortization of other comprehensive income</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(10,236)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(1,588)</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9"/>
        </w:trPr>
        <w:tc>
          <w:tcPr>
            <w:tcW w:w="7840" w:type="dxa"/>
            <w:vAlign w:val="bottom"/>
          </w:tcPr>
          <w:p>
            <w:pPr>
              <w:ind w:left="20"/>
              <w:spacing w:after="0"/>
              <w:rPr>
                <w:sz w:val="20"/>
                <w:szCs w:val="20"/>
                <w:color w:val="auto"/>
              </w:rPr>
            </w:pPr>
            <w:r>
              <w:rPr>
                <w:rFonts w:ascii="Arial" w:cs="Arial" w:eastAsia="Arial" w:hAnsi="Arial"/>
                <w:sz w:val="14"/>
                <w:szCs w:val="14"/>
                <w:color w:val="auto"/>
              </w:rPr>
              <w:t>Change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202"/>
        </w:trPr>
        <w:tc>
          <w:tcPr>
            <w:tcW w:w="78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(19,570)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(4,402)</w:t>
            </w:r>
          </w:p>
        </w:tc>
      </w:tr>
      <w:tr>
        <w:trPr>
          <w:trHeight w:val="203"/>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(38,458)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r>
      <w:tr>
        <w:trPr>
          <w:trHeight w:val="201"/>
        </w:trPr>
        <w:tc>
          <w:tcPr>
            <w:tcW w:w="7840" w:type="dxa"/>
            <w:vAlign w:val="bottom"/>
          </w:tcPr>
          <w:p>
            <w:pPr>
              <w:ind w:left="180"/>
              <w:spacing w:after="0"/>
              <w:rPr>
                <w:sz w:val="20"/>
                <w:szCs w:val="20"/>
                <w:color w:val="auto"/>
              </w:rPr>
            </w:pPr>
            <w:r>
              <w:rPr>
                <w:rFonts w:ascii="Arial" w:cs="Arial" w:eastAsia="Arial" w:hAnsi="Arial"/>
                <w:sz w:val="14"/>
                <w:szCs w:val="14"/>
                <w:color w:val="auto"/>
              </w:rPr>
              <w:t>Derivative liabilities</w:t>
            </w:r>
          </w:p>
        </w:tc>
        <w:tc>
          <w:tcPr>
            <w:tcW w:w="3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(66,713)</w:t>
            </w:r>
          </w:p>
        </w:tc>
      </w:tr>
      <w:tr>
        <w:trPr>
          <w:trHeight w:val="204"/>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w:t>
            </w:r>
          </w:p>
        </w:tc>
      </w:tr>
      <w:tr>
        <w:trPr>
          <w:trHeight w:val="23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(69,377)</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(85,651)</w:t>
            </w:r>
          </w:p>
        </w:tc>
      </w:tr>
      <w:tr>
        <w:trPr>
          <w:trHeight w:val="201"/>
        </w:trPr>
        <w:tc>
          <w:tcPr>
            <w:tcW w:w="78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(6,943)</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3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226,628</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(46,476)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(66,529)</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investor loan</w:t>
            </w:r>
          </w:p>
        </w:tc>
        <w:tc>
          <w:tcPr>
            <w:tcW w:w="3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11,001</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8,901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23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(44,755)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164,299</w:t>
            </w:r>
          </w:p>
        </w:tc>
      </w:tr>
      <w:tr>
        <w:trPr>
          <w:trHeight w:val="202"/>
        </w:trPr>
        <w:tc>
          <w:tcPr>
            <w:tcW w:w="78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debt, net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1,309,459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28,237</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Repayment of debt</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(1,320,223)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financing costs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(11,525)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financing obligation</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50,000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financing obligation</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Cash dividends - common stock</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(3,545)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(3,443)</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redeemable preferred stock</w:t>
            </w: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(25,516)</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Cash dividends - redeemable preferred stock - NCI</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(2,823)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r>
      <w:tr>
        <w:trPr>
          <w:trHeight w:val="202"/>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15,617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w:t>
            </w:r>
          </w:p>
        </w:tc>
      </w:tr>
      <w:tr>
        <w:trPr>
          <w:trHeight w:val="34"/>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 and restricted cash and cash equivalents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(98,515)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76,111</w:t>
            </w:r>
          </w:p>
        </w:tc>
      </w:tr>
      <w:tr>
        <w:trPr>
          <w:trHeight w:val="202"/>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and cash equivalents, beginning of period</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325,946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147,296</w:t>
            </w:r>
          </w:p>
        </w:tc>
      </w:tr>
      <w:tr>
        <w:trPr>
          <w:trHeight w:val="22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and cash equivalents,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227,431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223,407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54,178</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48,522</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business</w:t>
            </w: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(285,977)</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color w:val="auto"/>
              </w:rPr>
              <w:t>Dividends and accretion of redeemable preferred stock</w:t>
            </w:r>
          </w:p>
        </w:tc>
        <w:tc>
          <w:tcPr>
            <w:tcW w:w="3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3,675</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and accretion of redeemable preferred stock - NCI</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(32,221)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840" w:type="dxa"/>
            <w:vAlign w:val="bottom"/>
          </w:tcPr>
          <w:p>
            <w:pPr>
              <w:ind w:left="20"/>
              <w:spacing w:after="0"/>
              <w:rPr>
                <w:sz w:val="20"/>
                <w:szCs w:val="20"/>
                <w:color w:val="auto"/>
              </w:rPr>
            </w:pPr>
            <w:r>
              <w:rPr>
                <w:rFonts w:ascii="Arial" w:cs="Arial" w:eastAsia="Arial" w:hAnsi="Arial"/>
                <w:sz w:val="14"/>
                <w:szCs w:val="14"/>
                <w:color w:val="auto"/>
              </w:rPr>
              <w:t>Financing fees</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2,726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w:t>
            </w: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SUMMARY OF SIGNIFICANT ACCOUNTING POLICIES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(“U.S. GAAP”) and include the accounts of FTAI Infrastructure Inc. (“we”, “us”, “our”, “FTAI Infrastructure” or the “Company”) and our subsidiaries. These financial statements and related notes should be read in conjunction with the Consolidated Financial Statements and related notes included in the Company’s Annual Report on Form 10-K for the year ended December 31, 2025.</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U.S. GAAP requires management to make estimates and assumptions that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Capital market risk is the risk that we are unable to obtain capital at reasonable rates to fund the growth of our business or to refinance existing debt facilities. We do not have significant exposure to foreign currency risk as all of our leasing and revenue arrangements are denominated in U.S. dollars.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Liquidity</w:t>
      </w:r>
      <w:r>
        <w:rPr>
          <w:rFonts w:ascii="Arial" w:cs="Arial" w:eastAsia="Arial" w:hAnsi="Arial"/>
          <w:sz w:val="16"/>
          <w:szCs w:val="16"/>
          <w:color w:val="000000"/>
        </w:rPr>
        <w:t>—During the quarter, we have (i) refinanced the Bridge Loan Credit Agreement with the Term Loan Credit Agreement (see Note 7 for additional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details), (ii) paid down the Jefferson June 2025 Credit Agreement and (iii) entered into a binding Commitment Agreement (the “Backstop Agreement”) dated March 16, 2026, pursuant to which we may, at our sole option, on or prior to July 1, 2026, elect to borrow from a lender funds in an aggregate principal amount of $255.0 million pursuant to a bridge facility that will have a maturity date which is 364 days after the close of such bridge facility (see Note 7 for additional details). However, the Company has significant remaining debt obligations, which it continues to actively manage. The planned sale of Long Ridge will further improve the Company’s liquidity position and reduce our total debt (see Note 18 for additional details). Management’s planned actions, including the sale of Long Ridge, are considered probable to be implemented and to provide sufficient liquidity for the Company to meet its obligations as they become due over the twelve months from the date the financial statements were issued.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Current Assets</w:t>
      </w:r>
      <w:r>
        <w:rPr>
          <w:rFonts w:ascii="Arial" w:cs="Arial" w:eastAsia="Arial" w:hAnsi="Arial"/>
          <w:sz w:val="16"/>
          <w:szCs w:val="16"/>
          <w:color w:val="00497F"/>
        </w:rPr>
        <w:t>—</w:t>
      </w:r>
      <w:r>
        <w:rPr>
          <w:rFonts w:ascii="Arial" w:cs="Arial" w:eastAsia="Arial" w:hAnsi="Arial"/>
          <w:sz w:val="16"/>
          <w:szCs w:val="16"/>
          <w:color w:val="000000"/>
        </w:rPr>
        <w:t>Other current assets is comprised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Notes receivable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13,605</w:t>
            </w:r>
          </w:p>
        </w:tc>
      </w:tr>
      <w:tr>
        <w:trPr>
          <w:trHeight w:val="201"/>
        </w:trPr>
        <w:tc>
          <w:tcPr>
            <w:tcW w:w="760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18,829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20,403</w:t>
            </w:r>
          </w:p>
        </w:tc>
      </w:tr>
      <w:tr>
        <w:trPr>
          <w:trHeight w:val="204"/>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deposits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3,817</w:t>
            </w:r>
          </w:p>
        </w:tc>
      </w:tr>
      <w:tr>
        <w:trPr>
          <w:trHeight w:val="201"/>
        </w:trPr>
        <w:tc>
          <w:tcPr>
            <w:tcW w:w="7600" w:type="dxa"/>
            <w:vAlign w:val="bottom"/>
          </w:tcPr>
          <w:p>
            <w:pPr>
              <w:ind w:left="20"/>
              <w:spacing w:after="0"/>
              <w:rPr>
                <w:sz w:val="20"/>
                <w:szCs w:val="20"/>
                <w:color w:val="auto"/>
              </w:rPr>
            </w:pPr>
            <w:r>
              <w:rPr>
                <w:rFonts w:ascii="Arial" w:cs="Arial" w:eastAsia="Arial" w:hAnsi="Arial"/>
                <w:sz w:val="14"/>
                <w:szCs w:val="14"/>
                <w:color w:val="auto"/>
              </w:rPr>
              <w:t>Other receivables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31,103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10,587</w:t>
            </w:r>
          </w:p>
        </w:tc>
      </w:tr>
      <w:tr>
        <w:trPr>
          <w:trHeight w:val="204"/>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r>
      <w:tr>
        <w:trPr>
          <w:trHeight w:val="201"/>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13,071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12,996</w:t>
            </w:r>
          </w:p>
        </w:tc>
      </w:tr>
      <w:tr>
        <w:trPr>
          <w:trHeight w:val="22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72,778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62,677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Other Current Liabilities</w:t>
      </w:r>
      <w:r>
        <w:rPr>
          <w:rFonts w:ascii="Arial" w:cs="Arial" w:eastAsia="Arial" w:hAnsi="Arial"/>
          <w:sz w:val="16"/>
          <w:szCs w:val="16"/>
          <w:color w:val="000000"/>
        </w:rPr>
        <w:t>—Other current liabilities primarily include insurance premium liabilities of $3.6 million and $2.7 million and deferred revenue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$11.3 million and $11.5 million as of March 31, 2026 and December 31, 2025, respectively.</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Other Liabilities</w:t>
      </w:r>
      <w:r>
        <w:rPr>
          <w:rFonts w:ascii="Arial" w:cs="Arial" w:eastAsia="Arial" w:hAnsi="Arial"/>
          <w:sz w:val="16"/>
          <w:szCs w:val="16"/>
          <w:color w:val="000000"/>
        </w:rPr>
        <w:t>—Other liabilities primarily includes a $50.0 million financing obligation that The Wheeling Corporation (“Wheeling”) entered into in January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2026 with Bank of Montreal to finance the lease of 400 railcars as of March 31, 2026. This was a failed sales-leaseback transaction that is treated as a financing obligation.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$24.8 million and $21.9 million as of March 31, 2026 and December 31, 2025, respectively, are included in Debt, net in the Consolidated Balance Sheets.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Amortization expense was $3.9 million and $2.9 million during the three months ended March 31, 2026 and 2025, respectively, and is included in Interest expense in the Consolidated Statements of Operations.</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We attempt to limit our credit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risk by performing ongoing credit evaluations. We earned approximately 22% of total revenues for the three months ended March 31, 2026 from one customer in the Railroad segment. Additionally, we earned approximately 7% of total revenues for the three months ended March 31, 2026 from one customer in the Jefferson Terminal segment. We earned approximately 41% of total revenues for the three months ended March 31, 2025 from one customer in the Railroad segment. We earned approximately 11% of total revenues for the three months ended March 31, 2025 from one customer in the Jefferson Terminal segment.</w:t>
      </w:r>
    </w:p>
    <w:p>
      <w:pPr>
        <w:spacing w:after="0" w:line="2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2026, accounts receivable from three customers within the Jefferson Terminal, Railroad, and Corporate and Other segments represented 43% of total accounts receivable, net. As of December 31, 2025, accounts receivable from three customers within the Jefferson Terminal and Railroad segments represented 41% of total accounts receivable, net.</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Accumulated Other Comprehensive Loss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Components of accumulated other comprehensive (loss) income at March 31, 2026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6"/>
          </w:tcPr>
          <w:p>
            <w:pPr>
              <w:jc w:val="center"/>
              <w:ind w:left="908"/>
              <w:spacing w:after="0"/>
              <w:rPr>
                <w:sz w:val="20"/>
                <w:szCs w:val="20"/>
                <w:color w:val="auto"/>
              </w:rPr>
            </w:pPr>
            <w:r>
              <w:rPr>
                <w:rFonts w:ascii="Arial" w:cs="Arial" w:eastAsia="Arial" w:hAnsi="Arial"/>
                <w:sz w:val="14"/>
                <w:szCs w:val="14"/>
                <w:b w:val="1"/>
                <w:bCs w:val="1"/>
                <w:color w:val="auto"/>
              </w:rPr>
              <w:t>Three Months Ended March 31, 2026</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Pension and other</w:t>
            </w:r>
          </w:p>
        </w:tc>
        <w:tc>
          <w:tcPr>
            <w:tcW w:w="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480" w:type="dxa"/>
            <w:vAlign w:val="bottom"/>
          </w:tcPr>
          <w:p>
            <w:pPr>
              <w:spacing w:after="0"/>
              <w:rPr>
                <w:sz w:val="12"/>
                <w:szCs w:val="12"/>
                <w:color w:val="auto"/>
              </w:rPr>
            </w:pPr>
          </w:p>
        </w:tc>
        <w:tc>
          <w:tcPr>
            <w:tcW w:w="128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accounts</w:t>
            </w:r>
          </w:p>
        </w:tc>
        <w:tc>
          <w:tcPr>
            <w:tcW w:w="4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other comprehensive (loss) income - December 31, 2025</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21,578</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(90,618)</w:t>
            </w:r>
          </w:p>
        </w:tc>
        <w:tc>
          <w:tcPr>
            <w:tcW w:w="0" w:type="dxa"/>
            <w:vAlign w:val="bottom"/>
          </w:tcPr>
          <w:p>
            <w:pPr>
              <w:spacing w:after="0"/>
              <w:rPr>
                <w:sz w:val="1"/>
                <w:szCs w:val="1"/>
                <w:color w:val="auto"/>
              </w:rPr>
            </w:pPr>
          </w:p>
        </w:tc>
      </w:tr>
      <w:tr>
        <w:trPr>
          <w:trHeight w:val="202"/>
        </w:trPr>
        <w:tc>
          <w:tcPr>
            <w:tcW w:w="57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(12,106)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(12,106)</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accumulated other comprehensive (loss) income</w:t>
            </w:r>
          </w:p>
        </w:tc>
        <w:tc>
          <w:tcPr>
            <w:tcW w:w="2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15,960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(531)</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15,429</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 net of tax</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3,854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3,323</w:t>
            </w:r>
          </w:p>
        </w:tc>
        <w:tc>
          <w:tcPr>
            <w:tcW w:w="0" w:type="dxa"/>
            <w:vAlign w:val="bottom"/>
          </w:tcPr>
          <w:p>
            <w:pPr>
              <w:spacing w:after="0"/>
              <w:rPr>
                <w:sz w:val="1"/>
                <w:szCs w:val="1"/>
                <w:color w:val="auto"/>
              </w:rPr>
            </w:pPr>
          </w:p>
        </w:tc>
      </w:tr>
      <w:tr>
        <w:trPr>
          <w:trHeight w:val="22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other comprehensive (loss) income - March 31, 2026</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(108,342)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21,047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(87,295)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Components of accumulated other comprehensive (loss) income at March 31, 2025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March 31, 2025</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Pension and other</w:t>
            </w: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Derivatives</w:t>
            </w:r>
          </w:p>
        </w:tc>
        <w:tc>
          <w:tcPr>
            <w:tcW w:w="100" w:type="dxa"/>
            <w:vAlign w:val="bottom"/>
            <w:vMerge w:val="restart"/>
          </w:tcPr>
          <w:p>
            <w:pPr>
              <w:spacing w:after="0"/>
              <w:rPr>
                <w:sz w:val="12"/>
                <w:szCs w:val="12"/>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Equity method investee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postretirement benefit</w:t>
            </w:r>
          </w:p>
        </w:tc>
        <w:tc>
          <w:tcPr>
            <w:tcW w:w="400" w:type="dxa"/>
            <w:vAlign w:val="bottom"/>
          </w:tcPr>
          <w:p>
            <w:pPr>
              <w:spacing w:after="0"/>
              <w:rPr>
                <w:sz w:val="12"/>
                <w:szCs w:val="12"/>
                <w:color w:val="auto"/>
              </w:rPr>
            </w:pPr>
          </w:p>
        </w:tc>
        <w:tc>
          <w:tcPr>
            <w:tcW w:w="136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accounts</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9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Accumulated other comprehensive (loss) income -</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(182,983)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25,932</w:t>
            </w:r>
          </w:p>
        </w:tc>
        <w:tc>
          <w:tcPr>
            <w:tcW w:w="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(157,051)</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2024</w:t>
            </w:r>
          </w:p>
        </w:tc>
        <w:tc>
          <w:tcPr>
            <w:tcW w:w="300" w:type="dxa"/>
            <w:vAlign w:val="bottom"/>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(24,050)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(24,683)</w:t>
            </w:r>
          </w:p>
        </w:tc>
        <w:tc>
          <w:tcPr>
            <w:tcW w:w="0" w:type="dxa"/>
            <w:vAlign w:val="bottom"/>
          </w:tcPr>
          <w:p>
            <w:pPr>
              <w:spacing w:after="0"/>
              <w:rPr>
                <w:sz w:val="1"/>
                <w:szCs w:val="1"/>
                <w:color w:val="auto"/>
              </w:rPr>
            </w:pPr>
          </w:p>
        </w:tc>
      </w:tr>
      <w:tr>
        <w:trPr>
          <w:trHeight w:val="153"/>
        </w:trPr>
        <w:tc>
          <w:tcPr>
            <w:tcW w:w="39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Amounts reclassified from accumulated other</w:t>
            </w:r>
          </w:p>
        </w:tc>
        <w:tc>
          <w:tcPr>
            <w:tcW w:w="3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183,616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182,677</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3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960" w:type="dxa"/>
            <w:vAlign w:val="bottom"/>
          </w:tcPr>
          <w:p>
            <w:pPr>
              <w:ind w:left="20"/>
              <w:spacing w:after="0" w:line="129" w:lineRule="exact"/>
              <w:rPr>
                <w:sz w:val="20"/>
                <w:szCs w:val="20"/>
                <w:color w:val="auto"/>
              </w:rPr>
            </w:pPr>
            <w:r>
              <w:rPr>
                <w:rFonts w:ascii="Arial" w:cs="Arial" w:eastAsia="Arial" w:hAnsi="Arial"/>
                <w:sz w:val="14"/>
                <w:szCs w:val="14"/>
                <w:color w:val="auto"/>
              </w:rPr>
              <w:t>Net current period other comprehensive (loss) income, net</w:t>
            </w:r>
          </w:p>
        </w:tc>
        <w:tc>
          <w:tcPr>
            <w:tcW w:w="30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(24,431)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182,983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(558)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157,994</w:t>
            </w:r>
          </w:p>
        </w:tc>
        <w:tc>
          <w:tcPr>
            <w:tcW w:w="0" w:type="dxa"/>
            <w:vAlign w:val="bottom"/>
          </w:tcPr>
          <w:p>
            <w:pPr>
              <w:spacing w:after="0"/>
              <w:rPr>
                <w:sz w:val="1"/>
                <w:szCs w:val="1"/>
                <w:color w:val="auto"/>
              </w:rPr>
            </w:pPr>
          </w:p>
        </w:tc>
      </w:tr>
      <w:tr>
        <w:trPr>
          <w:trHeight w:val="18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of tax</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Accumulated other comprehensive (loss) income - March</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(24,431)</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25,374</w:t>
            </w:r>
          </w:p>
        </w:tc>
        <w:tc>
          <w:tcPr>
            <w:tcW w:w="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82"/>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31, 2025</w:t>
            </w:r>
          </w:p>
        </w:tc>
        <w:tc>
          <w:tcPr>
            <w:tcW w:w="300" w:type="dxa"/>
            <w:vAlign w:val="bottom"/>
            <w:vMerge w:val="continue"/>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ACQUISITION OF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Acquisition of Long Ridge Energy &amp; Power LLC</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February 26, 2025, the Company entered into a purchase agreement with certain affiliates of GCM Grosvenor Inc. (“GCM”), owner of 49.9% of the limited liability company interests of Long Ridge Energy &amp; Power LLC, to acquire GCM’s 49.9% interest. This transaction resulted in a controlling 100% ownership in Long Ridge Energy &amp; Power LLC. Long Ridge Energy &amp; Power LLC operates within the Power and Gas reportable segment. See Note 14 for additional information.</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Prior to obtaining a controlling interest in Long Ridge, the Company accounted for its 50.1% investment as an equity method investment. In accordance with accounting for a step acquisition, the Company recognized a gain of $120.0 million, which was included in (Loss) gain on sale of assets, net in the Consolidated Statements of Operations. There was also an income tax benefit of $9.2 million recorded as part of Accumulated other comprehensive loss in the Consolidated Balance Sheets that was reclassified to Provision for (benefit from) income taxes in the Consolidated Statements of Operations.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following fair values assigned to underlying assets acquired and liabilities assumed are based on management’s estimates and assumptions. The assumptions used to estimate the fair value of proved developed and unproved gas properties, as well as the power generation plant included forecasted revenue growth rates, discount rates, projected capacity factors and projected net gas production.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purchase price, as presented in our Consolidated Balance Sheet: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February 26, 2025</w:t>
            </w:r>
          </w:p>
        </w:tc>
      </w:tr>
      <w:tr>
        <w:trPr>
          <w:trHeight w:val="184"/>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17,205</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218,422</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12,364</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1,516,873</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11,855</w:t>
            </w:r>
          </w:p>
        </w:tc>
      </w:tr>
      <w:tr>
        <w:trPr>
          <w:trHeight w:val="195"/>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assets acquired</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1,777,719</w:t>
            </w:r>
          </w:p>
        </w:tc>
      </w:tr>
      <w:tr>
        <w:trPr>
          <w:trHeight w:val="203"/>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54,699</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1,115,200</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197,795</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15,628</w:t>
            </w:r>
          </w:p>
        </w:tc>
      </w:tr>
      <w:tr>
        <w:trPr>
          <w:trHeight w:val="195"/>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assumed</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1,383,322</w:t>
            </w:r>
          </w:p>
        </w:tc>
      </w:tr>
      <w:tr>
        <w:trPr>
          <w:trHeight w:val="204"/>
        </w:trPr>
        <w:tc>
          <w:tcPr>
            <w:tcW w:w="94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18"/>
                <w:szCs w:val="18"/>
                <w:color w:val="auto"/>
                <w:vertAlign w:val="superscript"/>
              </w:rPr>
              <w:t>(1)</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90,337</w:t>
            </w:r>
          </w:p>
        </w:tc>
      </w:tr>
      <w:tr>
        <w:trPr>
          <w:trHeight w:val="196"/>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purchase consideration</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484,734</w:t>
            </w:r>
          </w:p>
        </w:tc>
      </w:tr>
      <w:tr>
        <w:trPr>
          <w:trHeight w:val="21"/>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61"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This goodwill is assigned to the Power and Gas segment and is not tax deductible for income tax purposes.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estimated fair value of the identifiable intangible assets and their estimated useful lives: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Estimated useful life in</w:t>
            </w:r>
          </w:p>
        </w:tc>
        <w:tc>
          <w:tcPr>
            <w:tcW w:w="260" w:type="dxa"/>
            <w:vAlign w:val="bottom"/>
          </w:tcPr>
          <w:p>
            <w:pPr>
              <w:spacing w:after="0"/>
              <w:rPr>
                <w:sz w:val="14"/>
                <w:szCs w:val="14"/>
                <w:color w:val="auto"/>
              </w:rPr>
            </w:pPr>
          </w:p>
        </w:tc>
        <w:tc>
          <w:tcPr>
            <w:tcW w:w="12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766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0"/>
        </w:trPr>
        <w:tc>
          <w:tcPr>
            <w:tcW w:w="7660" w:type="dxa"/>
            <w:vAlign w:val="bottom"/>
          </w:tcPr>
          <w:p>
            <w:pPr>
              <w:ind w:left="20"/>
              <w:spacing w:after="0"/>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estimated fair value of the property, plant and equipment and their estimated remaining useful lives: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remaining useful</w:t>
            </w:r>
          </w:p>
        </w:tc>
        <w:tc>
          <w:tcPr>
            <w:tcW w:w="260" w:type="dxa"/>
            <w:vAlign w:val="bottom"/>
          </w:tcPr>
          <w:p>
            <w:pPr>
              <w:spacing w:after="0"/>
              <w:rPr>
                <w:sz w:val="14"/>
                <w:szCs w:val="14"/>
                <w:color w:val="auto"/>
              </w:rPr>
            </w:pPr>
          </w:p>
        </w:tc>
        <w:tc>
          <w:tcPr>
            <w:tcW w:w="12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98"/>
        </w:trPr>
        <w:tc>
          <w:tcPr>
            <w:tcW w:w="7660" w:type="dxa"/>
            <w:vAlign w:val="bottom"/>
          </w:tcPr>
          <w:p>
            <w:pPr>
              <w:ind w:left="20"/>
              <w:spacing w:after="0"/>
              <w:rPr>
                <w:sz w:val="20"/>
                <w:szCs w:val="20"/>
                <w:color w:val="auto"/>
              </w:rPr>
            </w:pPr>
            <w:r>
              <w:rPr>
                <w:rFonts w:ascii="Arial" w:cs="Arial" w:eastAsia="Arial" w:hAnsi="Arial"/>
                <w:sz w:val="14"/>
                <w:szCs w:val="14"/>
                <w:color w:val="auto"/>
              </w:rPr>
              <w:t>Unproved properties</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216,776</w:t>
            </w:r>
          </w:p>
        </w:tc>
        <w:tc>
          <w:tcPr>
            <w:tcW w:w="0" w:type="dxa"/>
            <w:vAlign w:val="bottom"/>
          </w:tcPr>
          <w:p>
            <w:pPr>
              <w:spacing w:after="0"/>
              <w:rPr>
                <w:sz w:val="1"/>
                <w:szCs w:val="1"/>
                <w:color w:val="auto"/>
              </w:rPr>
            </w:pP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Proved developed properties</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168,045</w:t>
            </w:r>
          </w:p>
        </w:tc>
        <w:tc>
          <w:tcPr>
            <w:tcW w:w="0" w:type="dxa"/>
            <w:vAlign w:val="bottom"/>
          </w:tcPr>
          <w:p>
            <w:pPr>
              <w:spacing w:after="0"/>
              <w:rPr>
                <w:sz w:val="1"/>
                <w:szCs w:val="1"/>
                <w:color w:val="auto"/>
              </w:rPr>
            </w:pPr>
          </w:p>
        </w:tc>
      </w:tr>
      <w:tr>
        <w:trPr>
          <w:trHeight w:val="198"/>
        </w:trPr>
        <w:tc>
          <w:tcPr>
            <w:tcW w:w="7660" w:type="dxa"/>
            <w:vAlign w:val="bottom"/>
          </w:tcPr>
          <w:p>
            <w:pPr>
              <w:ind w:left="20"/>
              <w:spacing w:after="0"/>
              <w:rPr>
                <w:sz w:val="20"/>
                <w:szCs w:val="20"/>
                <w:color w:val="auto"/>
              </w:rPr>
            </w:pPr>
            <w:r>
              <w:rPr>
                <w:rFonts w:ascii="Arial" w:cs="Arial" w:eastAsia="Arial" w:hAnsi="Arial"/>
                <w:sz w:val="14"/>
                <w:szCs w:val="14"/>
                <w:color w:val="auto"/>
              </w:rPr>
              <w:t>Power generation</w:t>
            </w:r>
          </w:p>
        </w:tc>
        <w:tc>
          <w:tcPr>
            <w:tcW w:w="1980" w:type="dxa"/>
            <w:vAlign w:val="bottom"/>
          </w:tcPr>
          <w:p>
            <w:pPr>
              <w:jc w:val="center"/>
              <w:spacing w:after="0"/>
              <w:rPr>
                <w:sz w:val="20"/>
                <w:szCs w:val="20"/>
                <w:color w:val="auto"/>
              </w:rPr>
            </w:pPr>
            <w:r>
              <w:rPr>
                <w:rFonts w:ascii="Arial" w:cs="Arial" w:eastAsia="Arial" w:hAnsi="Arial"/>
                <w:sz w:val="14"/>
                <w:szCs w:val="14"/>
                <w:color w:val="auto"/>
              </w:rPr>
              <w:t>12 - 37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850,121</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software</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9"/>
        </w:trPr>
        <w:tc>
          <w:tcPr>
            <w:tcW w:w="7660" w:type="dxa"/>
            <w:vAlign w:val="bottom"/>
          </w:tcPr>
          <w:p>
            <w:pPr>
              <w:ind w:left="20"/>
              <w:spacing w:after="0"/>
              <w:rPr>
                <w:sz w:val="20"/>
                <w:szCs w:val="20"/>
                <w:color w:val="auto"/>
              </w:rPr>
            </w:pPr>
            <w:r>
              <w:rPr>
                <w:rFonts w:ascii="Arial" w:cs="Arial" w:eastAsia="Arial" w:hAnsi="Arial"/>
                <w:sz w:val="14"/>
                <w:szCs w:val="14"/>
                <w:color w:val="auto"/>
              </w:rPr>
              <w:t>Land and improvements</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166,454</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10 - 39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48,665</w:t>
            </w:r>
          </w:p>
        </w:tc>
        <w:tc>
          <w:tcPr>
            <w:tcW w:w="0" w:type="dxa"/>
            <w:vAlign w:val="bottom"/>
          </w:tcPr>
          <w:p>
            <w:pPr>
              <w:spacing w:after="0"/>
              <w:rPr>
                <w:sz w:val="1"/>
                <w:szCs w:val="1"/>
                <w:color w:val="auto"/>
              </w:rPr>
            </w:pPr>
          </w:p>
        </w:tc>
      </w:tr>
      <w:tr>
        <w:trPr>
          <w:trHeight w:val="199"/>
        </w:trPr>
        <w:tc>
          <w:tcPr>
            <w:tcW w:w="7660" w:type="dxa"/>
            <w:vAlign w:val="bottom"/>
          </w:tcPr>
          <w:p>
            <w:pPr>
              <w:ind w:left="20"/>
              <w:spacing w:after="0"/>
              <w:rPr>
                <w:sz w:val="20"/>
                <w:szCs w:val="20"/>
                <w:color w:val="auto"/>
              </w:rPr>
            </w:pPr>
            <w:r>
              <w:rPr>
                <w:rFonts w:ascii="Arial" w:cs="Arial" w:eastAsia="Arial" w:hAnsi="Arial"/>
                <w:sz w:val="14"/>
                <w:szCs w:val="14"/>
                <w:color w:val="auto"/>
              </w:rPr>
              <w:t>Machinery &amp; equipment</w:t>
            </w:r>
          </w:p>
        </w:tc>
        <w:tc>
          <w:tcPr>
            <w:tcW w:w="1980" w:type="dxa"/>
            <w:vAlign w:val="bottom"/>
          </w:tcPr>
          <w:p>
            <w:pPr>
              <w:jc w:val="center"/>
              <w:spacing w:after="0"/>
              <w:rPr>
                <w:sz w:val="20"/>
                <w:szCs w:val="20"/>
                <w:color w:val="auto"/>
              </w:rPr>
            </w:pPr>
            <w:r>
              <w:rPr>
                <w:rFonts w:ascii="Arial" w:cs="Arial" w:eastAsia="Arial" w:hAnsi="Arial"/>
                <w:sz w:val="14"/>
                <w:szCs w:val="14"/>
                <w:color w:val="auto"/>
              </w:rPr>
              <w:t>2 - 37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62,015</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8 - 34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w:t>
            </w:r>
          </w:p>
        </w:tc>
        <w:tc>
          <w:tcPr>
            <w:tcW w:w="0" w:type="dxa"/>
            <w:vAlign w:val="bottom"/>
          </w:tcPr>
          <w:p>
            <w:pPr>
              <w:spacing w:after="0"/>
              <w:rPr>
                <w:sz w:val="1"/>
                <w:szCs w:val="1"/>
                <w:color w:val="auto"/>
              </w:rPr>
            </w:pPr>
          </w:p>
        </w:tc>
      </w:tr>
      <w:tr>
        <w:trPr>
          <w:trHeight w:val="19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Vehicles</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2 - 3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1,516,873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FTAI Infrastructure and Long Ridge Energy &amp; Power LLC on a pro forma basis, as though the companies had been combined as of January 1, 2024. These pro forma results were based on estimates and assumptions which we believe are reasonable. The pro forma adjustments are primarily comprised of the following:</w:t>
      </w:r>
    </w:p>
    <w:p>
      <w:pPr>
        <w:spacing w:after="0" w:line="2" w:lineRule="exact"/>
        <w:rPr>
          <w:sz w:val="20"/>
          <w:szCs w:val="20"/>
          <w:color w:val="auto"/>
        </w:rPr>
      </w:pPr>
    </w:p>
    <w:p>
      <w:pPr>
        <w:ind w:left="660" w:hanging="328"/>
        <w:spacing w:after="0" w:line="29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allocation of the purchase price and related adjustments, including adjustments to depreciation and amortization expense related to the fair value of property, plant and equipment and intangible assets acquired;</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Elimination of intercompany transactions between consolidated companies;</w:t>
      </w:r>
    </w:p>
    <w:p>
      <w:pPr>
        <w:spacing w:after="0" w:line="59" w:lineRule="exact"/>
        <w:rPr>
          <w:rFonts w:ascii="Arial" w:cs="Arial" w:eastAsia="Arial" w:hAnsi="Arial"/>
          <w:sz w:val="16"/>
          <w:szCs w:val="16"/>
          <w:color w:val="auto"/>
        </w:rPr>
      </w:pPr>
    </w:p>
    <w:p>
      <w:pPr>
        <w:ind w:left="660" w:right="20" w:hanging="328"/>
        <w:spacing w:after="0" w:line="29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Impacts of debt assumed, including interest for debt issued, removal of interest for eliminated debt and removal of eliminated amortization of deferred financing costs; and</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Associated tax-related impacts of adjustments.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pro forma financial information is presented for informational purposes only and is not indicative of the results of operations that would have been achieved if the acquisition had taken place as of January 1, 2024.</w:t>
      </w:r>
    </w:p>
    <w:p>
      <w:pPr>
        <w:spacing w:after="0" w:line="93"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31, 2025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149,520</w:t>
            </w:r>
          </w:p>
        </w:tc>
      </w:tr>
      <w:tr>
        <w:trPr>
          <w:trHeight w:val="194"/>
        </w:trPr>
        <w:tc>
          <w:tcPr>
            <w:tcW w:w="9260" w:type="dxa"/>
            <w:vAlign w:val="bottom"/>
          </w:tcPr>
          <w:p>
            <w:pPr>
              <w:ind w:left="20"/>
              <w:spacing w:after="0"/>
              <w:rPr>
                <w:sz w:val="20"/>
                <w:szCs w:val="20"/>
                <w:color w:val="auto"/>
              </w:rPr>
            </w:pPr>
            <w:r>
              <w:rPr>
                <w:rFonts w:ascii="Arial" w:cs="Arial" w:eastAsia="Arial" w:hAnsi="Arial"/>
                <w:sz w:val="14"/>
                <w:szCs w:val="14"/>
                <w:color w:val="auto"/>
              </w:rPr>
              <w:t>Net loss attributable to stockholders, before series B preferred stock dividend and loss on extinguishment of preferred stock</w:t>
            </w: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(40,012)</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LEASING EQUIPMENT,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tcBorders>
            <w:shd w:val="clear" w:color="auto" w:fill="CCEEFF"/>
          </w:tcPr>
          <w:p>
            <w:pPr>
              <w:jc w:val="center"/>
              <w:ind w:left="888"/>
              <w:spacing w:after="0"/>
              <w:rPr>
                <w:sz w:val="20"/>
                <w:szCs w:val="20"/>
                <w:color w:val="auto"/>
              </w:rPr>
            </w:pPr>
            <w:r>
              <w:rPr>
                <w:rFonts w:ascii="Arial" w:cs="Arial" w:eastAsia="Arial" w:hAnsi="Arial"/>
                <w:sz w:val="14"/>
                <w:szCs w:val="14"/>
                <w:b w:val="1"/>
                <w:bCs w:val="1"/>
                <w:color w:val="auto"/>
              </w:rPr>
              <w:t>49,989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center"/>
              <w:ind w:left="968"/>
              <w:spacing w:after="0"/>
              <w:rPr>
                <w:sz w:val="20"/>
                <w:szCs w:val="20"/>
                <w:color w:val="auto"/>
              </w:rPr>
            </w:pPr>
            <w:r>
              <w:rPr>
                <w:rFonts w:ascii="Arial" w:cs="Arial" w:eastAsia="Arial" w:hAnsi="Arial"/>
                <w:sz w:val="14"/>
                <w:szCs w:val="14"/>
                <w:color w:val="auto"/>
              </w:rPr>
              <w:t>49,986</w:t>
            </w:r>
          </w:p>
        </w:tc>
      </w:tr>
      <w:tr>
        <w:trPr>
          <w:trHeight w:val="201"/>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b w:val="1"/>
                <w:bCs w:val="1"/>
                <w:color w:val="auto"/>
              </w:rPr>
              <w:t>(13,811)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left="948"/>
              <w:spacing w:after="0"/>
              <w:rPr>
                <w:sz w:val="20"/>
                <w:szCs w:val="20"/>
                <w:color w:val="auto"/>
              </w:rPr>
            </w:pPr>
            <w:r>
              <w:rPr>
                <w:rFonts w:ascii="Arial" w:cs="Arial" w:eastAsia="Arial" w:hAnsi="Arial"/>
                <w:sz w:val="14"/>
                <w:szCs w:val="14"/>
                <w:color w:val="auto"/>
              </w:rPr>
              <w:t>(13,416)</w:t>
            </w:r>
          </w:p>
        </w:tc>
      </w:tr>
      <w:tr>
        <w:trPr>
          <w:trHeight w:val="222"/>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center"/>
              <w:ind w:left="888"/>
              <w:spacing w:after="0"/>
              <w:rPr>
                <w:sz w:val="20"/>
                <w:szCs w:val="20"/>
                <w:color w:val="auto"/>
              </w:rPr>
            </w:pPr>
            <w:r>
              <w:rPr>
                <w:rFonts w:ascii="Arial" w:cs="Arial" w:eastAsia="Arial" w:hAnsi="Arial"/>
                <w:sz w:val="14"/>
                <w:szCs w:val="14"/>
                <w:b w:val="1"/>
                <w:bCs w:val="1"/>
                <w:color w:val="auto"/>
              </w:rPr>
              <w:t>36,178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center"/>
              <w:ind w:left="968"/>
              <w:spacing w:after="0"/>
              <w:rPr>
                <w:sz w:val="20"/>
                <w:szCs w:val="20"/>
                <w:color w:val="auto"/>
              </w:rPr>
            </w:pPr>
            <w:r>
              <w:rPr>
                <w:rFonts w:ascii="Arial" w:cs="Arial" w:eastAsia="Arial" w:hAnsi="Arial"/>
                <w:sz w:val="14"/>
                <w:szCs w:val="14"/>
                <w:color w:val="auto"/>
              </w:rPr>
              <w:t>36,570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7"/>
                <w:szCs w:val="17"/>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PROPERTY, PLANT AND EQUIPMENT,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514,154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513,835</w:t>
            </w:r>
          </w:p>
        </w:tc>
      </w:tr>
      <w:tr>
        <w:trPr>
          <w:trHeight w:val="202"/>
        </w:trPr>
        <w:tc>
          <w:tcPr>
            <w:tcW w:w="762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73,005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72,997</w:t>
            </w: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Bridges and tunnels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969,904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969,551</w:t>
            </w:r>
          </w:p>
        </w:tc>
      </w:tr>
      <w:tr>
        <w:trPr>
          <w:trHeight w:val="202"/>
        </w:trPr>
        <w:tc>
          <w:tcPr>
            <w:tcW w:w="762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1,350,849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1,357,502</w:t>
            </w: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Proved oil and gas properties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316,284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304,716</w:t>
            </w:r>
          </w:p>
        </w:tc>
      </w:tr>
      <w:tr>
        <w:trPr>
          <w:trHeight w:val="202"/>
        </w:trPr>
        <w:tc>
          <w:tcPr>
            <w:tcW w:w="7620" w:type="dxa"/>
            <w:vAlign w:val="bottom"/>
          </w:tcPr>
          <w:p>
            <w:pPr>
              <w:ind w:left="20"/>
              <w:spacing w:after="0"/>
              <w:rPr>
                <w:sz w:val="20"/>
                <w:szCs w:val="20"/>
                <w:color w:val="auto"/>
              </w:rPr>
            </w:pPr>
            <w:r>
              <w:rPr>
                <w:rFonts w:ascii="Arial" w:cs="Arial" w:eastAsia="Arial" w:hAnsi="Arial"/>
                <w:sz w:val="14"/>
                <w:szCs w:val="14"/>
                <w:color w:val="auto"/>
              </w:rPr>
              <w:t>Unproved oil and gas properties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144,977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144,455</w:t>
            </w: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 plant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850,489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850,489</w:t>
            </w:r>
          </w:p>
        </w:tc>
      </w:tr>
      <w:tr>
        <w:trPr>
          <w:trHeight w:val="202"/>
        </w:trPr>
        <w:tc>
          <w:tcPr>
            <w:tcW w:w="762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336,240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335,850</w:t>
            </w: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9,694</w:t>
            </w:r>
          </w:p>
        </w:tc>
      </w:tr>
      <w:tr>
        <w:trPr>
          <w:trHeight w:val="202"/>
        </w:trPr>
        <w:tc>
          <w:tcPr>
            <w:tcW w:w="7620" w:type="dxa"/>
            <w:vAlign w:val="bottom"/>
          </w:tcPr>
          <w:p>
            <w:pPr>
              <w:ind w:left="20"/>
              <w:spacing w:after="0"/>
              <w:rPr>
                <w:sz w:val="20"/>
                <w:szCs w:val="20"/>
                <w:color w:val="auto"/>
              </w:rPr>
            </w:pPr>
            <w:r>
              <w:rPr>
                <w:rFonts w:ascii="Arial" w:cs="Arial" w:eastAsia="Arial" w:hAnsi="Arial"/>
                <w:sz w:val="14"/>
                <w:szCs w:val="14"/>
                <w:color w:val="auto"/>
              </w:rPr>
              <w:t>Railcars and locomotives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181,977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181,892</w:t>
            </w: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22,780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22,532</w:t>
            </w:r>
          </w:p>
        </w:tc>
      </w:tr>
      <w:tr>
        <w:trPr>
          <w:trHeight w:val="202"/>
        </w:trPr>
        <w:tc>
          <w:tcPr>
            <w:tcW w:w="762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2,246</w:t>
            </w: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300,359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263,495</w:t>
            </w:r>
          </w:p>
        </w:tc>
      </w:tr>
      <w:tr>
        <w:trPr>
          <w:trHeight w:val="20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30,029</w:t>
            </w:r>
          </w:p>
        </w:tc>
      </w:tr>
      <w:tr>
        <w:trPr>
          <w:trHeight w:val="197"/>
        </w:trPr>
        <w:tc>
          <w:tcPr>
            <w:tcW w:w="7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5,102,577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5,059,283</w:t>
            </w:r>
          </w:p>
        </w:tc>
      </w:tr>
      <w:tr>
        <w:trPr>
          <w:trHeight w:val="20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(526,114)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(477,512)</w:t>
            </w:r>
          </w:p>
        </w:tc>
      </w:tr>
      <w:tr>
        <w:trPr>
          <w:trHeight w:val="222"/>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4,576,463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4,581,771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49,209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23,606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228"/>
              <w:spacing w:after="0"/>
              <w:rPr>
                <w:sz w:val="20"/>
                <w:szCs w:val="20"/>
                <w:color w:val="auto"/>
              </w:rPr>
            </w:pPr>
            <w:r>
              <w:rPr>
                <w:rFonts w:ascii="Arial" w:cs="Arial" w:eastAsia="Arial" w:hAnsi="Arial"/>
                <w:sz w:val="14"/>
                <w:szCs w:val="14"/>
                <w:b w:val="1"/>
                <w:bCs w:val="1"/>
                <w:color w:val="auto"/>
              </w:rPr>
              <w:t>Carrying Value</w:t>
            </w:r>
          </w:p>
        </w:tc>
      </w:tr>
      <w:tr>
        <w:trPr>
          <w:trHeight w:val="197"/>
        </w:trPr>
        <w:tc>
          <w:tcPr>
            <w:tcW w:w="35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Ownership Percentage</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March 31, 2026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Equity method</w:t>
            </w: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580" w:type="dxa"/>
            <w:vAlign w:val="bottom"/>
          </w:tcPr>
          <w:p>
            <w:pPr>
              <w:ind w:left="20"/>
              <w:spacing w:after="0"/>
              <w:rPr>
                <w:sz w:val="20"/>
                <w:szCs w:val="20"/>
                <w:color w:val="auto"/>
              </w:rPr>
            </w:pPr>
            <w:r>
              <w:rPr>
                <w:rFonts w:ascii="Arial" w:cs="Arial" w:eastAsia="Arial" w:hAnsi="Arial"/>
                <w:sz w:val="14"/>
                <w:szCs w:val="14"/>
                <w:color w:val="auto"/>
              </w:rPr>
              <w:t>GM-FTAI Holdco LLC</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color w:val="auto"/>
              </w:rPr>
              <w:t>Equity method</w:t>
            </w:r>
          </w:p>
        </w:tc>
        <w:tc>
          <w:tcPr>
            <w:tcW w:w="2020" w:type="dxa"/>
            <w:vAlign w:val="bottom"/>
          </w:tcPr>
          <w:p>
            <w:pPr>
              <w:jc w:val="center"/>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Pyroplast Energy LTD</w:t>
            </w:r>
          </w:p>
        </w:tc>
        <w:tc>
          <w:tcPr>
            <w:tcW w:w="1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Equity method</w:t>
            </w: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21,726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22,243</w:t>
            </w:r>
          </w:p>
        </w:tc>
      </w:tr>
      <w:tr>
        <w:trPr>
          <w:trHeight w:val="196"/>
        </w:trPr>
        <w:tc>
          <w:tcPr>
            <w:tcW w:w="3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21,726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22,243</w:t>
            </w:r>
          </w:p>
        </w:tc>
      </w:tr>
      <w:tr>
        <w:trPr>
          <w:trHeight w:val="22"/>
        </w:trPr>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earnings (losses):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01"/>
        </w:trPr>
        <w:tc>
          <w:tcPr>
            <w:tcW w:w="8100" w:type="dxa"/>
            <w:vAlign w:val="bottom"/>
          </w:tcPr>
          <w:p>
            <w:pPr>
              <w:ind w:left="20"/>
              <w:spacing w:after="0"/>
              <w:rPr>
                <w:sz w:val="20"/>
                <w:szCs w:val="20"/>
                <w:color w:val="auto"/>
              </w:rPr>
            </w:pPr>
            <w:r>
              <w:rPr>
                <w:rFonts w:ascii="Arial" w:cs="Arial" w:eastAsia="Arial" w:hAnsi="Arial"/>
                <w:sz w:val="14"/>
                <w:szCs w:val="14"/>
                <w:color w:val="auto"/>
              </w:rPr>
              <w:t>Long Ridge Energy &amp; Power LLC</w:t>
            </w:r>
          </w:p>
        </w:tc>
        <w:tc>
          <w:tcPr>
            <w:tcW w:w="104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10,899</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West Virginia LLC</w:t>
            </w:r>
          </w:p>
        </w:tc>
        <w:tc>
          <w:tcPr>
            <w:tcW w:w="10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201"/>
        </w:trPr>
        <w:tc>
          <w:tcPr>
            <w:tcW w:w="8100" w:type="dxa"/>
            <w:vAlign w:val="bottom"/>
          </w:tcPr>
          <w:p>
            <w:pPr>
              <w:ind w:left="20"/>
              <w:spacing w:after="0"/>
              <w:rPr>
                <w:sz w:val="20"/>
                <w:szCs w:val="20"/>
                <w:color w:val="auto"/>
              </w:rPr>
            </w:pPr>
            <w:r>
              <w:rPr>
                <w:rFonts w:ascii="Arial" w:cs="Arial" w:eastAsia="Arial" w:hAnsi="Arial"/>
                <w:sz w:val="14"/>
                <w:szCs w:val="14"/>
                <w:color w:val="auto"/>
              </w:rPr>
              <w:t>GM-FTAI Holdco LLC</w:t>
            </w:r>
          </w:p>
        </w:tc>
        <w:tc>
          <w:tcPr>
            <w:tcW w:w="104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(5,215)</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Clean Planet Energy USA LLC</w:t>
            </w:r>
          </w:p>
        </w:tc>
        <w:tc>
          <w:tcPr>
            <w:tcW w:w="10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0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Pyroplast Energy LTD</w:t>
            </w: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(518)</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(518)</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Equity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TimberHP Madison, LLC</w:t>
      </w:r>
    </w:p>
    <w:p>
      <w:pPr>
        <w:spacing w:after="0" w:line="1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February 2, 2026, the Company invested $5.0 million in TimberHP Madison, LLC (“TimberHP”) as a Secured Promissory Note. The note matures on February 2, 2028 and has a current annual interest rate of 5%. The interest is due at maturity.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INTANGIBLE ASSETS,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March 31, 2026</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Power and Gas</w:t>
            </w:r>
          </w:p>
        </w:tc>
        <w:tc>
          <w:tcPr>
            <w:tcW w:w="12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Railroad</w:t>
            </w:r>
          </w:p>
        </w:tc>
        <w:tc>
          <w:tcPr>
            <w:tcW w:w="360" w:type="dxa"/>
            <w:vAlign w:val="bottom"/>
          </w:tcPr>
          <w:p>
            <w:pPr>
              <w:spacing w:after="0"/>
              <w:rPr>
                <w:sz w:val="17"/>
                <w:szCs w:val="17"/>
                <w:color w:val="auto"/>
              </w:rPr>
            </w:pPr>
          </w:p>
        </w:tc>
        <w:tc>
          <w:tcPr>
            <w:tcW w:w="116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r>
      <w:tr>
        <w:trPr>
          <w:trHeight w:val="197"/>
        </w:trPr>
        <w:tc>
          <w:tcPr>
            <w:tcW w:w="6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tcBorders>
            <w:shd w:val="clear" w:color="auto" w:fill="CCEEFF"/>
          </w:tcPr>
          <w:p>
            <w:pPr>
              <w:jc w:val="center"/>
              <w:ind w:left="768"/>
              <w:spacing w:after="0"/>
              <w:rPr>
                <w:sz w:val="20"/>
                <w:szCs w:val="20"/>
                <w:color w:val="auto"/>
              </w:rPr>
            </w:pPr>
            <w:r>
              <w:rPr>
                <w:rFonts w:ascii="Arial" w:cs="Arial" w:eastAsia="Arial" w:hAnsi="Arial"/>
                <w:sz w:val="14"/>
                <w:szCs w:val="14"/>
                <w:b w:val="1"/>
                <w:bCs w:val="1"/>
                <w:color w:val="auto"/>
              </w:rPr>
              <w:t>60,000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center"/>
              <w:ind w:left="528"/>
              <w:spacing w:after="0"/>
              <w:rPr>
                <w:sz w:val="20"/>
                <w:szCs w:val="20"/>
                <w:color w:val="auto"/>
              </w:rPr>
            </w:pPr>
            <w:r>
              <w:rPr>
                <w:rFonts w:ascii="Arial" w:cs="Arial" w:eastAsia="Arial" w:hAnsi="Arial"/>
                <w:sz w:val="14"/>
                <w:szCs w:val="14"/>
                <w:b w:val="1"/>
                <w:bCs w:val="1"/>
                <w:color w:val="auto"/>
              </w:rPr>
              <w:t>61,000</w:t>
            </w:r>
          </w:p>
        </w:tc>
      </w:tr>
      <w:tr>
        <w:trPr>
          <w:trHeight w:val="202"/>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Accumulated amortization</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(18,757)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rPr>
              <w:t>(18,830)</w:t>
            </w:r>
          </w:p>
        </w:tc>
      </w:tr>
      <w:tr>
        <w:trPr>
          <w:trHeight w:val="222"/>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center"/>
              <w:ind w:left="768"/>
              <w:spacing w:after="0"/>
              <w:rPr>
                <w:sz w:val="20"/>
                <w:szCs w:val="20"/>
                <w:color w:val="auto"/>
              </w:rPr>
            </w:pPr>
            <w:r>
              <w:rPr>
                <w:rFonts w:ascii="Arial" w:cs="Arial" w:eastAsia="Arial" w:hAnsi="Arial"/>
                <w:sz w:val="14"/>
                <w:szCs w:val="14"/>
                <w:b w:val="1"/>
                <w:bCs w:val="1"/>
                <w:color w:val="auto"/>
              </w:rPr>
              <w:t>41,243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center"/>
              <w:ind w:left="528"/>
              <w:spacing w:after="0"/>
              <w:rPr>
                <w:sz w:val="20"/>
                <w:szCs w:val="20"/>
                <w:color w:val="auto"/>
              </w:rPr>
            </w:pPr>
            <w:r>
              <w:rPr>
                <w:rFonts w:ascii="Arial" w:cs="Arial" w:eastAsia="Arial" w:hAnsi="Arial"/>
                <w:sz w:val="14"/>
                <w:szCs w:val="14"/>
                <w:b w:val="1"/>
                <w:bCs w:val="1"/>
                <w:color w:val="auto"/>
              </w:rPr>
              <w:t>42,170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78"/>
        </w:trPr>
        <w:tc>
          <w:tcPr>
            <w:tcW w:w="6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2025</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Power and Gas</w:t>
            </w:r>
          </w:p>
        </w:tc>
        <w:tc>
          <w:tcPr>
            <w:tcW w:w="10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r>
      <w:tr>
        <w:trPr>
          <w:trHeight w:val="197"/>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ind w:left="768"/>
              <w:spacing w:after="0"/>
              <w:rPr>
                <w:sz w:val="20"/>
                <w:szCs w:val="20"/>
                <w:color w:val="auto"/>
              </w:rPr>
            </w:pPr>
            <w:r>
              <w:rPr>
                <w:rFonts w:ascii="Arial" w:cs="Arial" w:eastAsia="Arial" w:hAnsi="Arial"/>
                <w:sz w:val="14"/>
                <w:szCs w:val="14"/>
                <w:color w:val="auto"/>
              </w:rPr>
              <w:t>60,000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rPr>
              <w:t>61,000</w:t>
            </w:r>
          </w:p>
        </w:tc>
      </w:tr>
      <w:tr>
        <w:trPr>
          <w:trHeight w:val="19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color w:val="auto"/>
              </w:rPr>
              <w:t>(17,771)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rPr>
              <w:t>(17,827)</w:t>
            </w:r>
          </w:p>
        </w:tc>
      </w:tr>
      <w:tr>
        <w:trPr>
          <w:trHeight w:val="220"/>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ind w:left="768"/>
              <w:spacing w:after="0"/>
              <w:rPr>
                <w:sz w:val="20"/>
                <w:szCs w:val="20"/>
                <w:color w:val="auto"/>
              </w:rPr>
            </w:pPr>
            <w:r>
              <w:rPr>
                <w:rFonts w:ascii="Arial" w:cs="Arial" w:eastAsia="Arial" w:hAnsi="Arial"/>
                <w:sz w:val="14"/>
                <w:szCs w:val="14"/>
                <w:color w:val="auto"/>
              </w:rPr>
              <w:t>42,229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rPr>
              <w:t>43,173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customer relationships is included in Depreciation and amortization in the Consolidated Statements of Operations and is as follows:</w:t>
      </w:r>
    </w:p>
    <w:p>
      <w:pPr>
        <w:spacing w:after="0" w:line="17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customer relationships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estimated net annual amortization of intangibles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2026</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w:t>
            </w:r>
          </w:p>
        </w:tc>
      </w:tr>
      <w:tr>
        <w:trPr>
          <w:trHeight w:val="198"/>
        </w:trPr>
        <w:tc>
          <w:tcPr>
            <w:tcW w:w="9480" w:type="dxa"/>
            <w:vAlign w:val="bottom"/>
          </w:tcPr>
          <w:p>
            <w:pPr>
              <w:ind w:left="20"/>
              <w:spacing w:after="0"/>
              <w:rPr>
                <w:sz w:val="20"/>
                <w:szCs w:val="20"/>
                <w:color w:val="auto"/>
              </w:rPr>
            </w:pPr>
            <w:r>
              <w:rPr>
                <w:rFonts w:ascii="Arial" w:cs="Arial" w:eastAsia="Arial" w:hAnsi="Arial"/>
                <w:sz w:val="14"/>
                <w:szCs w:val="14"/>
                <w:color w:val="auto"/>
              </w:rPr>
              <w:t>2027</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4,067</w:t>
            </w:r>
          </w:p>
        </w:tc>
      </w:tr>
      <w:tr>
        <w:trPr>
          <w:trHeight w:val="207"/>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w:t>
            </w:r>
          </w:p>
        </w:tc>
      </w:tr>
      <w:tr>
        <w:trPr>
          <w:trHeight w:val="198"/>
        </w:trPr>
        <w:tc>
          <w:tcPr>
            <w:tcW w:w="9480" w:type="dxa"/>
            <w:vAlign w:val="bottom"/>
          </w:tcPr>
          <w:p>
            <w:pPr>
              <w:ind w:left="20"/>
              <w:spacing w:after="0"/>
              <w:rPr>
                <w:sz w:val="20"/>
                <w:szCs w:val="20"/>
                <w:color w:val="auto"/>
              </w:rPr>
            </w:pPr>
            <w:r>
              <w:rPr>
                <w:rFonts w:ascii="Arial" w:cs="Arial" w:eastAsia="Arial" w:hAnsi="Arial"/>
                <w:sz w:val="14"/>
                <w:szCs w:val="14"/>
                <w:color w:val="auto"/>
              </w:rPr>
              <w:t>2029</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4,067</w:t>
            </w:r>
          </w:p>
        </w:tc>
      </w:tr>
      <w:tr>
        <w:trPr>
          <w:trHeight w:val="207"/>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w:t>
            </w:r>
          </w:p>
        </w:tc>
      </w:tr>
      <w:tr>
        <w:trPr>
          <w:trHeight w:val="198"/>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22,852</w:t>
            </w:r>
          </w:p>
        </w:tc>
      </w:tr>
      <w:tr>
        <w:trPr>
          <w:trHeight w:val="225"/>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DEBT,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3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3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tcPr>
          <w:p>
            <w:pPr>
              <w:ind w:left="20"/>
              <w:spacing w:after="0"/>
              <w:rPr>
                <w:sz w:val="20"/>
                <w:szCs w:val="20"/>
                <w:color w:val="auto"/>
              </w:rPr>
            </w:pPr>
            <w:r>
              <w:rPr>
                <w:rFonts w:ascii="Arial" w:cs="Arial" w:eastAsia="Arial" w:hAnsi="Arial"/>
                <w:sz w:val="14"/>
                <w:szCs w:val="14"/>
                <w:color w:val="auto"/>
              </w:rPr>
              <w:t xml:space="preserve">DRP DB Term Loan </w:t>
            </w:r>
            <w:r>
              <w:rPr>
                <w:rFonts w:ascii="Arial" w:cs="Arial" w:eastAsia="Arial" w:hAnsi="Arial"/>
                <w:sz w:val="9"/>
                <w:szCs w:val="9"/>
                <w:color w:val="auto"/>
              </w:rPr>
              <w:t>(2)</w:t>
            </w:r>
          </w:p>
        </w:tc>
        <w:tc>
          <w:tcPr>
            <w:tcW w:w="3480" w:type="dxa"/>
            <w:vAlign w:val="bottom"/>
          </w:tcPr>
          <w:p>
            <w:pPr>
              <w:jc w:val="center"/>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11/30/26</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b w:val="1"/>
                <w:bCs w:val="1"/>
                <w:color w:val="auto"/>
              </w:rPr>
              <w:t>108,342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105,828</w:t>
            </w:r>
          </w:p>
        </w:tc>
        <w:tc>
          <w:tcPr>
            <w:tcW w:w="0" w:type="dxa"/>
            <w:vAlign w:val="bottom"/>
          </w:tcPr>
          <w:p>
            <w:pPr>
              <w:spacing w:after="0"/>
              <w:rPr>
                <w:sz w:val="1"/>
                <w:szCs w:val="1"/>
                <w:color w:val="auto"/>
              </w:rPr>
            </w:pPr>
          </w:p>
        </w:tc>
      </w:tr>
      <w:tr>
        <w:trPr>
          <w:trHeight w:val="154"/>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Bridge Loan Credit Agreement </w:t>
            </w:r>
            <w:r>
              <w:rPr>
                <w:rFonts w:ascii="Arial" w:cs="Arial" w:eastAsia="Arial" w:hAnsi="Arial"/>
                <w:sz w:val="9"/>
                <w:szCs w:val="9"/>
                <w:color w:val="auto"/>
              </w:rPr>
              <w:t>(1)</w:t>
            </w:r>
          </w:p>
        </w:tc>
        <w:tc>
          <w:tcPr>
            <w:tcW w:w="3580" w:type="dxa"/>
            <w:vAlign w:val="bottom"/>
            <w:gridSpan w:val="2"/>
            <w:shd w:val="clear" w:color="auto" w:fill="CCEEFF"/>
          </w:tcPr>
          <w:p>
            <w:pPr>
              <w:jc w:val="center"/>
              <w:ind w:right="120"/>
              <w:spacing w:after="0" w:line="154" w:lineRule="exact"/>
              <w:rPr>
                <w:sz w:val="20"/>
                <w:szCs w:val="20"/>
                <w:color w:val="auto"/>
              </w:rPr>
            </w:pPr>
            <w:r>
              <w:rPr>
                <w:rFonts w:ascii="Arial" w:cs="Arial" w:eastAsia="Arial" w:hAnsi="Arial"/>
                <w:sz w:val="14"/>
                <w:szCs w:val="14"/>
                <w:color w:val="auto"/>
              </w:rPr>
              <w:t>(i) Base Rate + 3.00%; or</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8/24/26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1,227,294</w:t>
            </w:r>
          </w:p>
        </w:tc>
        <w:tc>
          <w:tcPr>
            <w:tcW w:w="0" w:type="dxa"/>
            <w:vAlign w:val="bottom"/>
          </w:tcPr>
          <w:p>
            <w:pPr>
              <w:spacing w:after="0"/>
              <w:rPr>
                <w:sz w:val="1"/>
                <w:szCs w:val="1"/>
                <w:color w:val="auto"/>
              </w:rPr>
            </w:pPr>
          </w:p>
        </w:tc>
      </w:tr>
      <w:tr>
        <w:trPr>
          <w:trHeight w:val="185"/>
        </w:trPr>
        <w:tc>
          <w:tcPr>
            <w:tcW w:w="2660" w:type="dxa"/>
            <w:vAlign w:val="bottom"/>
            <w:vMerge w:val="continue"/>
            <w:shd w:val="clear" w:color="auto" w:fill="CCEEFF"/>
          </w:tcPr>
          <w:p>
            <w:pPr>
              <w:spacing w:after="0"/>
              <w:rPr>
                <w:sz w:val="16"/>
                <w:szCs w:val="16"/>
                <w:color w:val="auto"/>
              </w:rPr>
            </w:pPr>
          </w:p>
        </w:tc>
        <w:tc>
          <w:tcPr>
            <w:tcW w:w="3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(ii) Base Rate + 4.00% (Adjusted Term SOFR)</w:t>
            </w:r>
          </w:p>
        </w:tc>
        <w:tc>
          <w:tcPr>
            <w:tcW w:w="1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60" w:type="dxa"/>
            <w:vAlign w:val="bottom"/>
          </w:tcPr>
          <w:p>
            <w:pPr>
              <w:ind w:left="20"/>
              <w:spacing w:after="0"/>
              <w:rPr>
                <w:sz w:val="20"/>
                <w:szCs w:val="20"/>
                <w:color w:val="auto"/>
              </w:rPr>
            </w:pPr>
            <w:r>
              <w:rPr>
                <w:rFonts w:ascii="Arial" w:cs="Arial" w:eastAsia="Arial" w:hAnsi="Arial"/>
                <w:sz w:val="14"/>
                <w:szCs w:val="14"/>
                <w:color w:val="auto"/>
              </w:rPr>
              <w:t xml:space="preserve">Term Loan Credit Agreement </w:t>
            </w:r>
            <w:r>
              <w:rPr>
                <w:rFonts w:ascii="Arial" w:cs="Arial" w:eastAsia="Arial" w:hAnsi="Arial"/>
                <w:sz w:val="9"/>
                <w:szCs w:val="9"/>
                <w:color w:val="auto"/>
              </w:rPr>
              <w:t>(1)</w:t>
            </w:r>
          </w:p>
        </w:tc>
        <w:tc>
          <w:tcPr>
            <w:tcW w:w="3480" w:type="dxa"/>
            <w:vAlign w:val="bottom"/>
          </w:tcPr>
          <w:p>
            <w:pPr>
              <w:jc w:val="center"/>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2/1/28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b w:val="1"/>
                <w:bCs w:val="1"/>
                <w:color w:val="auto"/>
              </w:rPr>
              <w:t>1,315,014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66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right="100"/>
              <w:spacing w:after="0" w:line="154" w:lineRule="exact"/>
              <w:rPr>
                <w:sz w:val="20"/>
                <w:szCs w:val="20"/>
                <w:color w:val="auto"/>
              </w:rPr>
            </w:pPr>
            <w:r>
              <w:rPr>
                <w:rFonts w:ascii="Arial" w:cs="Arial" w:eastAsia="Arial" w:hAnsi="Arial"/>
                <w:sz w:val="14"/>
                <w:szCs w:val="14"/>
                <w:color w:val="auto"/>
              </w:rPr>
              <w:t>(i) 1/25/27</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EB-5 Loan Agreement </w:t>
            </w:r>
            <w:r>
              <w:rPr>
                <w:rFonts w:ascii="Arial" w:cs="Arial" w:eastAsia="Arial" w:hAnsi="Arial"/>
                <w:sz w:val="9"/>
                <w:szCs w:val="9"/>
                <w:color w:val="auto"/>
              </w:rPr>
              <w:t>(2)</w:t>
            </w:r>
          </w:p>
        </w:tc>
        <w:tc>
          <w:tcPr>
            <w:tcW w:w="3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(ii) 3/11/27</w:t>
            </w:r>
          </w:p>
        </w:tc>
        <w:tc>
          <w:tcPr>
            <w:tcW w:w="24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63,800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63,800</w:t>
            </w:r>
          </w:p>
        </w:tc>
        <w:tc>
          <w:tcPr>
            <w:tcW w:w="0" w:type="dxa"/>
            <w:vAlign w:val="bottom"/>
          </w:tcPr>
          <w:p>
            <w:pPr>
              <w:spacing w:after="0"/>
              <w:rPr>
                <w:sz w:val="1"/>
                <w:szCs w:val="1"/>
                <w:color w:val="auto"/>
              </w:rPr>
            </w:pPr>
          </w:p>
        </w:tc>
      </w:tr>
      <w:tr>
        <w:trPr>
          <w:trHeight w:val="185"/>
        </w:trPr>
        <w:tc>
          <w:tcPr>
            <w:tcW w:w="2660" w:type="dxa"/>
            <w:vAlign w:val="bottom"/>
            <w:vMerge w:val="continue"/>
            <w:shd w:val="clear" w:color="auto" w:fill="CCEEFF"/>
          </w:tcPr>
          <w:p>
            <w:pPr>
              <w:spacing w:after="0"/>
              <w:rPr>
                <w:sz w:val="16"/>
                <w:szCs w:val="16"/>
                <w:color w:val="auto"/>
              </w:rPr>
            </w:pPr>
          </w:p>
        </w:tc>
        <w:tc>
          <w:tcPr>
            <w:tcW w:w="3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(iii) 11/16/27</w:t>
            </w:r>
          </w:p>
        </w:tc>
        <w:tc>
          <w:tcPr>
            <w:tcW w:w="24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Jefferson Credit Agreement June 2025</w:t>
            </w:r>
          </w:p>
        </w:tc>
        <w:tc>
          <w:tcPr>
            <w:tcW w:w="3580" w:type="dxa"/>
            <w:vAlign w:val="bottom"/>
            <w:gridSpan w:val="2"/>
          </w:tcPr>
          <w:p>
            <w:pPr>
              <w:jc w:val="center"/>
              <w:ind w:right="120"/>
              <w:spacing w:after="0" w:line="153" w:lineRule="exact"/>
              <w:rPr>
                <w:sz w:val="20"/>
                <w:szCs w:val="20"/>
                <w:color w:val="auto"/>
              </w:rPr>
            </w:pPr>
            <w:r>
              <w:rPr>
                <w:rFonts w:ascii="Arial" w:cs="Arial" w:eastAsia="Arial" w:hAnsi="Arial"/>
                <w:sz w:val="14"/>
                <w:szCs w:val="14"/>
                <w:color w:val="auto"/>
              </w:rPr>
              <w:t>(i) Base Rate + 3.00%; or</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8/31/26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85"/>
        </w:trPr>
        <w:tc>
          <w:tcPr>
            <w:tcW w:w="2660" w:type="dxa"/>
            <w:vAlign w:val="bottom"/>
            <w:vMerge w:val="continue"/>
          </w:tcPr>
          <w:p>
            <w:pPr>
              <w:spacing w:after="0"/>
              <w:rPr>
                <w:sz w:val="16"/>
                <w:szCs w:val="16"/>
                <w:color w:val="auto"/>
              </w:rPr>
            </w:pPr>
          </w:p>
        </w:tc>
        <w:tc>
          <w:tcPr>
            <w:tcW w:w="3580" w:type="dxa"/>
            <w:vAlign w:val="bottom"/>
            <w:gridSpan w:val="2"/>
          </w:tcPr>
          <w:p>
            <w:pPr>
              <w:jc w:val="center"/>
              <w:ind w:right="120"/>
              <w:spacing w:after="0"/>
              <w:rPr>
                <w:sz w:val="20"/>
                <w:szCs w:val="20"/>
                <w:color w:val="auto"/>
              </w:rPr>
            </w:pPr>
            <w:r>
              <w:rPr>
                <w:rFonts w:ascii="Arial" w:cs="Arial" w:eastAsia="Arial" w:hAnsi="Arial"/>
                <w:sz w:val="14"/>
                <w:szCs w:val="14"/>
                <w:color w:val="auto"/>
              </w:rPr>
              <w:t>(ii) Base Rate + 4.00% (Term SOFR)</w:t>
            </w: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RailCo Revolver</w:t>
            </w:r>
          </w:p>
        </w:tc>
        <w:tc>
          <w:tcPr>
            <w:tcW w:w="3580" w:type="dxa"/>
            <w:vAlign w:val="bottom"/>
            <w:gridSpan w:val="2"/>
            <w:shd w:val="clear" w:color="auto" w:fill="CCEEFF"/>
          </w:tcPr>
          <w:p>
            <w:pPr>
              <w:jc w:val="center"/>
              <w:ind w:right="120"/>
              <w:spacing w:after="0" w:line="153" w:lineRule="exact"/>
              <w:rPr>
                <w:sz w:val="20"/>
                <w:szCs w:val="20"/>
                <w:color w:val="auto"/>
              </w:rPr>
            </w:pPr>
            <w:r>
              <w:rPr>
                <w:rFonts w:ascii="Arial" w:cs="Arial" w:eastAsia="Arial" w:hAnsi="Arial"/>
                <w:sz w:val="14"/>
                <w:szCs w:val="14"/>
                <w:color w:val="auto"/>
              </w:rPr>
              <w:t>(i) Base Rate + 2.00%; or</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11/17/28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50,000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5"/>
        </w:trPr>
        <w:tc>
          <w:tcPr>
            <w:tcW w:w="2660" w:type="dxa"/>
            <w:vAlign w:val="bottom"/>
            <w:vMerge w:val="continue"/>
            <w:shd w:val="clear" w:color="auto" w:fill="CCEEFF"/>
          </w:tcPr>
          <w:p>
            <w:pPr>
              <w:spacing w:after="0"/>
              <w:rPr>
                <w:sz w:val="16"/>
                <w:szCs w:val="16"/>
                <w:color w:val="auto"/>
              </w:rPr>
            </w:pPr>
          </w:p>
        </w:tc>
        <w:tc>
          <w:tcPr>
            <w:tcW w:w="3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(ii) Base Rate + 3.00% (Term SOFR)</w:t>
            </w:r>
          </w:p>
        </w:tc>
        <w:tc>
          <w:tcPr>
            <w:tcW w:w="1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60" w:type="dxa"/>
            <w:vAlign w:val="bottom"/>
          </w:tcPr>
          <w:p>
            <w:pPr>
              <w:ind w:left="20"/>
              <w:spacing w:after="0"/>
              <w:rPr>
                <w:sz w:val="20"/>
                <w:szCs w:val="20"/>
                <w:color w:val="auto"/>
              </w:rPr>
            </w:pPr>
            <w:r>
              <w:rPr>
                <w:rFonts w:ascii="Arial" w:cs="Arial" w:eastAsia="Arial" w:hAnsi="Arial"/>
                <w:sz w:val="14"/>
                <w:szCs w:val="14"/>
                <w:color w:val="auto"/>
              </w:rPr>
              <w:t>Long Ridge Acquiom Loan</w:t>
            </w:r>
          </w:p>
        </w:tc>
        <w:tc>
          <w:tcPr>
            <w:tcW w:w="3480" w:type="dxa"/>
            <w:vAlign w:val="bottom"/>
          </w:tcPr>
          <w:p>
            <w:pPr>
              <w:jc w:val="center"/>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6/7/26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b w:val="1"/>
                <w:bCs w:val="1"/>
                <w:color w:val="auto"/>
              </w:rPr>
              <w:t>14,734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22,371</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GCM Note</w:t>
            </w:r>
          </w:p>
        </w:tc>
        <w:tc>
          <w:tcPr>
            <w:tcW w:w="3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2/26/28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02"/>
        </w:trPr>
        <w:tc>
          <w:tcPr>
            <w:tcW w:w="2660" w:type="dxa"/>
            <w:vAlign w:val="bottom"/>
          </w:tcPr>
          <w:p>
            <w:pPr>
              <w:ind w:left="20"/>
              <w:spacing w:after="0"/>
              <w:rPr>
                <w:sz w:val="20"/>
                <w:szCs w:val="20"/>
                <w:color w:val="auto"/>
              </w:rPr>
            </w:pPr>
            <w:r>
              <w:rPr>
                <w:rFonts w:ascii="Arial" w:cs="Arial" w:eastAsia="Arial" w:hAnsi="Arial"/>
                <w:sz w:val="14"/>
                <w:szCs w:val="14"/>
                <w:color w:val="auto"/>
              </w:rPr>
              <w:t>Long Ridge CanAm Loan</w:t>
            </w:r>
          </w:p>
        </w:tc>
        <w:tc>
          <w:tcPr>
            <w:tcW w:w="3480" w:type="dxa"/>
            <w:vAlign w:val="bottom"/>
          </w:tcPr>
          <w:p>
            <w:pPr>
              <w:jc w:val="center"/>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9/13/29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b w:val="1"/>
                <w:bCs w:val="1"/>
                <w:color w:val="auto"/>
              </w:rPr>
              <w:t>115,200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115,200</w:t>
            </w:r>
          </w:p>
        </w:tc>
        <w:tc>
          <w:tcPr>
            <w:tcW w:w="0" w:type="dxa"/>
            <w:vAlign w:val="bottom"/>
          </w:tcPr>
          <w:p>
            <w:pPr>
              <w:spacing w:after="0"/>
              <w:rPr>
                <w:sz w:val="1"/>
                <w:szCs w:val="1"/>
                <w:color w:val="auto"/>
              </w:rPr>
            </w:pPr>
          </w:p>
        </w:tc>
      </w:tr>
      <w:tr>
        <w:trPr>
          <w:trHeight w:val="154"/>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Long Ridge Credit Agreement</w:t>
            </w:r>
          </w:p>
        </w:tc>
        <w:tc>
          <w:tcPr>
            <w:tcW w:w="3580" w:type="dxa"/>
            <w:vAlign w:val="bottom"/>
            <w:gridSpan w:val="2"/>
            <w:shd w:val="clear" w:color="auto" w:fill="CCEEFF"/>
          </w:tcPr>
          <w:p>
            <w:pPr>
              <w:jc w:val="center"/>
              <w:ind w:right="120"/>
              <w:spacing w:after="0" w:line="154" w:lineRule="exact"/>
              <w:rPr>
                <w:sz w:val="20"/>
                <w:szCs w:val="20"/>
                <w:color w:val="auto"/>
              </w:rPr>
            </w:pPr>
            <w:r>
              <w:rPr>
                <w:rFonts w:ascii="Arial" w:cs="Arial" w:eastAsia="Arial" w:hAnsi="Arial"/>
                <w:sz w:val="14"/>
                <w:szCs w:val="14"/>
                <w:color w:val="auto"/>
              </w:rPr>
              <w:t>(i) Base Rate + 3.50%; or</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2/19/32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396,000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397,000</w:t>
            </w:r>
          </w:p>
        </w:tc>
        <w:tc>
          <w:tcPr>
            <w:tcW w:w="0" w:type="dxa"/>
            <w:vAlign w:val="bottom"/>
          </w:tcPr>
          <w:p>
            <w:pPr>
              <w:spacing w:after="0"/>
              <w:rPr>
                <w:sz w:val="1"/>
                <w:szCs w:val="1"/>
                <w:color w:val="auto"/>
              </w:rPr>
            </w:pPr>
          </w:p>
        </w:tc>
      </w:tr>
      <w:tr>
        <w:trPr>
          <w:trHeight w:val="185"/>
        </w:trPr>
        <w:tc>
          <w:tcPr>
            <w:tcW w:w="2660" w:type="dxa"/>
            <w:vAlign w:val="bottom"/>
            <w:vMerge w:val="continue"/>
            <w:shd w:val="clear" w:color="auto" w:fill="CCEEFF"/>
          </w:tcPr>
          <w:p>
            <w:pPr>
              <w:spacing w:after="0"/>
              <w:rPr>
                <w:sz w:val="16"/>
                <w:szCs w:val="16"/>
                <w:color w:val="auto"/>
              </w:rPr>
            </w:pPr>
          </w:p>
        </w:tc>
        <w:tc>
          <w:tcPr>
            <w:tcW w:w="3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(ii) Base Rate + 4.50% (Term SOFR)</w:t>
            </w:r>
          </w:p>
        </w:tc>
        <w:tc>
          <w:tcPr>
            <w:tcW w:w="1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b w:val="1"/>
                <w:bCs w:val="1"/>
                <w:color w:val="auto"/>
              </w:rPr>
              <w:t>2,083,090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2,031,493</w:t>
            </w:r>
          </w:p>
        </w:tc>
        <w:tc>
          <w:tcPr>
            <w:tcW w:w="0" w:type="dxa"/>
            <w:vAlign w:val="bottom"/>
          </w:tcPr>
          <w:p>
            <w:pPr>
              <w:spacing w:after="0"/>
              <w:rPr>
                <w:sz w:val="1"/>
                <w:szCs w:val="1"/>
                <w:color w:val="auto"/>
              </w:rPr>
            </w:pPr>
          </w:p>
        </w:tc>
      </w:tr>
      <w:tr>
        <w:trPr>
          <w:trHeight w:val="204"/>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3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 xml:space="preserve">Series 2020 Bonds </w:t>
            </w:r>
            <w:r>
              <w:rPr>
                <w:rFonts w:ascii="Arial" w:cs="Arial" w:eastAsia="Arial" w:hAnsi="Arial"/>
                <w:sz w:val="9"/>
                <w:szCs w:val="9"/>
                <w:color w:val="auto"/>
              </w:rPr>
              <w:t>(1)</w:t>
            </w:r>
          </w:p>
        </w:tc>
        <w:tc>
          <w:tcPr>
            <w:tcW w:w="35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Tax Exempt Series 2020A Bonds: 3.625%</w:t>
            </w: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1/1/35</w:t>
            </w:r>
          </w:p>
        </w:tc>
        <w:tc>
          <w:tcPr>
            <w:tcW w:w="240" w:type="dxa"/>
            <w:vAlign w:val="bottom"/>
          </w:tcPr>
          <w:p>
            <w:pPr>
              <w:spacing w:after="0"/>
              <w:rPr>
                <w:sz w:val="13"/>
                <w:szCs w:val="13"/>
                <w:color w:val="auto"/>
              </w:rPr>
            </w:pPr>
          </w:p>
        </w:tc>
        <w:tc>
          <w:tcPr>
            <w:tcW w:w="15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139,214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140,753</w:t>
            </w:r>
          </w:p>
        </w:tc>
        <w:tc>
          <w:tcPr>
            <w:tcW w:w="0" w:type="dxa"/>
            <w:vAlign w:val="bottom"/>
          </w:tcPr>
          <w:p>
            <w:pPr>
              <w:spacing w:after="0"/>
              <w:rPr>
                <w:sz w:val="1"/>
                <w:szCs w:val="1"/>
                <w:color w:val="auto"/>
              </w:rPr>
            </w:pPr>
          </w:p>
        </w:tc>
      </w:tr>
      <w:tr>
        <w:trPr>
          <w:trHeight w:val="185"/>
        </w:trPr>
        <w:tc>
          <w:tcPr>
            <w:tcW w:w="2660" w:type="dxa"/>
            <w:vAlign w:val="bottom"/>
            <w:vMerge w:val="continue"/>
          </w:tcPr>
          <w:p>
            <w:pPr>
              <w:spacing w:after="0"/>
              <w:rPr>
                <w:sz w:val="16"/>
                <w:szCs w:val="16"/>
                <w:color w:val="auto"/>
              </w:rPr>
            </w:pPr>
          </w:p>
        </w:tc>
        <w:tc>
          <w:tcPr>
            <w:tcW w:w="3580" w:type="dxa"/>
            <w:vAlign w:val="bottom"/>
            <w:gridSpan w:val="2"/>
          </w:tcPr>
          <w:p>
            <w:pPr>
              <w:jc w:val="center"/>
              <w:ind w:right="100"/>
              <w:spacing w:after="0"/>
              <w:rPr>
                <w:sz w:val="20"/>
                <w:szCs w:val="20"/>
                <w:color w:val="auto"/>
              </w:rPr>
            </w:pPr>
            <w:r>
              <w:rPr>
                <w:rFonts w:ascii="Arial" w:cs="Arial" w:eastAsia="Arial" w:hAnsi="Arial"/>
                <w:sz w:val="14"/>
                <w:szCs w:val="14"/>
                <w:color w:val="auto"/>
              </w:rPr>
              <w:t>(ii) Tax Exempt Series 2020A Bonds: 4.00%</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color w:val="auto"/>
              </w:rPr>
              <w:t>(ii) 1/1/50</w:t>
            </w:r>
          </w:p>
        </w:tc>
        <w:tc>
          <w:tcPr>
            <w:tcW w:w="2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Series 2021 Bonds </w:t>
            </w:r>
            <w:r>
              <w:rPr>
                <w:rFonts w:ascii="Arial" w:cs="Arial" w:eastAsia="Arial" w:hAnsi="Arial"/>
                <w:sz w:val="9"/>
                <w:szCs w:val="9"/>
                <w:color w:val="auto"/>
              </w:rPr>
              <w:t>(1)</w:t>
            </w:r>
          </w:p>
        </w:tc>
        <w:tc>
          <w:tcPr>
            <w:tcW w:w="358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Tax Exempt Series 2021A Bonds: 1.875% to 3.00%</w:t>
            </w:r>
          </w:p>
        </w:tc>
        <w:tc>
          <w:tcPr>
            <w:tcW w:w="14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1/1/26 to 1/1/50</w:t>
            </w:r>
          </w:p>
        </w:tc>
        <w:tc>
          <w:tcPr>
            <w:tcW w:w="24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339,532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348,240</w:t>
            </w:r>
          </w:p>
        </w:tc>
        <w:tc>
          <w:tcPr>
            <w:tcW w:w="0" w:type="dxa"/>
            <w:vAlign w:val="bottom"/>
          </w:tcPr>
          <w:p>
            <w:pPr>
              <w:spacing w:after="0"/>
              <w:rPr>
                <w:sz w:val="1"/>
                <w:szCs w:val="1"/>
                <w:color w:val="auto"/>
              </w:rPr>
            </w:pPr>
          </w:p>
        </w:tc>
      </w:tr>
      <w:tr>
        <w:trPr>
          <w:trHeight w:val="185"/>
        </w:trPr>
        <w:tc>
          <w:tcPr>
            <w:tcW w:w="2660" w:type="dxa"/>
            <w:vAlign w:val="bottom"/>
            <w:vMerge w:val="continue"/>
            <w:shd w:val="clear" w:color="auto" w:fill="CCEEFF"/>
          </w:tcPr>
          <w:p>
            <w:pPr>
              <w:spacing w:after="0"/>
              <w:rPr>
                <w:sz w:val="16"/>
                <w:szCs w:val="16"/>
                <w:color w:val="auto"/>
              </w:rPr>
            </w:pPr>
          </w:p>
        </w:tc>
        <w:tc>
          <w:tcPr>
            <w:tcW w:w="3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(ii) Taxable Series 2021B Bonds: 4.10%</w:t>
            </w: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1/1/28</w:t>
            </w:r>
          </w:p>
        </w:tc>
        <w:tc>
          <w:tcPr>
            <w:tcW w:w="24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35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Tax Exempt Series 2024A Bonds: 5.000% to</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(i) 1/1/39 to 1/1/54</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 xml:space="preserve">Series 2024 Bonds </w:t>
            </w:r>
            <w:r>
              <w:rPr>
                <w:rFonts w:ascii="Arial" w:cs="Arial" w:eastAsia="Arial" w:hAnsi="Arial"/>
                <w:sz w:val="9"/>
                <w:szCs w:val="9"/>
                <w:color w:val="auto"/>
              </w:rPr>
              <w:t>(1) (3)</w:t>
            </w:r>
          </w:p>
        </w:tc>
        <w:tc>
          <w:tcPr>
            <w:tcW w:w="3480" w:type="dxa"/>
            <w:vAlign w:val="bottom"/>
          </w:tcPr>
          <w:p>
            <w:pPr>
              <w:jc w:val="center"/>
              <w:spacing w:after="0" w:line="149" w:lineRule="exact"/>
              <w:rPr>
                <w:sz w:val="20"/>
                <w:szCs w:val="20"/>
                <w:color w:val="auto"/>
              </w:rPr>
            </w:pPr>
            <w:r>
              <w:rPr>
                <w:rFonts w:ascii="Arial" w:cs="Arial" w:eastAsia="Arial" w:hAnsi="Arial"/>
                <w:sz w:val="14"/>
                <w:szCs w:val="14"/>
                <w:color w:val="auto"/>
              </w:rPr>
              <w:t>5.250%</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379,021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378,458</w:t>
            </w:r>
          </w:p>
        </w:tc>
        <w:tc>
          <w:tcPr>
            <w:tcW w:w="0" w:type="dxa"/>
            <w:vAlign w:val="bottom"/>
          </w:tcPr>
          <w:p>
            <w:pPr>
              <w:spacing w:after="0"/>
              <w:rPr>
                <w:sz w:val="1"/>
                <w:szCs w:val="1"/>
                <w:color w:val="auto"/>
              </w:rPr>
            </w:pPr>
          </w:p>
        </w:tc>
      </w:tr>
      <w:tr>
        <w:trPr>
          <w:trHeight w:val="185"/>
        </w:trPr>
        <w:tc>
          <w:tcPr>
            <w:tcW w:w="2660" w:type="dxa"/>
            <w:vAlign w:val="bottom"/>
            <w:vMerge w:val="continue"/>
          </w:tcPr>
          <w:p>
            <w:pPr>
              <w:spacing w:after="0"/>
              <w:rPr>
                <w:sz w:val="16"/>
                <w:szCs w:val="16"/>
                <w:color w:val="auto"/>
              </w:rPr>
            </w:pPr>
          </w:p>
        </w:tc>
        <w:tc>
          <w:tcPr>
            <w:tcW w:w="3580" w:type="dxa"/>
            <w:vAlign w:val="bottom"/>
            <w:gridSpan w:val="2"/>
          </w:tcPr>
          <w:p>
            <w:pPr>
              <w:jc w:val="center"/>
              <w:ind w:right="120"/>
              <w:spacing w:after="0"/>
              <w:rPr>
                <w:sz w:val="20"/>
                <w:szCs w:val="20"/>
                <w:color w:val="auto"/>
              </w:rPr>
            </w:pPr>
            <w:r>
              <w:rPr>
                <w:rFonts w:ascii="Arial" w:cs="Arial" w:eastAsia="Arial" w:hAnsi="Arial"/>
                <w:sz w:val="14"/>
                <w:szCs w:val="14"/>
                <w:color w:val="auto"/>
              </w:rPr>
              <w:t>(ii) Taxable Series 2024B Bonds: 10.000%</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color w:val="auto"/>
              </w:rPr>
              <w:t>(ii) 7/1/26</w:t>
            </w:r>
          </w:p>
        </w:tc>
        <w:tc>
          <w:tcPr>
            <w:tcW w:w="2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Series 2025 Bonds </w:t>
            </w:r>
            <w:r>
              <w:rPr>
                <w:rFonts w:ascii="Arial" w:cs="Arial" w:eastAsia="Arial" w:hAnsi="Arial"/>
                <w:sz w:val="9"/>
                <w:szCs w:val="9"/>
                <w:color w:val="auto"/>
              </w:rPr>
              <w:t>(1)</w:t>
            </w:r>
          </w:p>
        </w:tc>
        <w:tc>
          <w:tcPr>
            <w:tcW w:w="3580" w:type="dxa"/>
            <w:vAlign w:val="bottom"/>
            <w:gridSpan w:val="2"/>
            <w:shd w:val="clear" w:color="auto" w:fill="CCEEFF"/>
          </w:tcPr>
          <w:p>
            <w:pPr>
              <w:jc w:val="center"/>
              <w:ind w:right="120"/>
              <w:spacing w:after="0" w:line="153" w:lineRule="exact"/>
              <w:rPr>
                <w:sz w:val="20"/>
                <w:szCs w:val="20"/>
                <w:color w:val="auto"/>
              </w:rPr>
            </w:pPr>
            <w:r>
              <w:rPr>
                <w:rFonts w:ascii="Arial" w:cs="Arial" w:eastAsia="Arial" w:hAnsi="Arial"/>
                <w:sz w:val="14"/>
                <w:szCs w:val="14"/>
                <w:color w:val="auto"/>
              </w:rPr>
              <w:t>(i) Tax Exempt Series 2025 Bonds: 6.375%</w:t>
            </w:r>
          </w:p>
        </w:tc>
        <w:tc>
          <w:tcPr>
            <w:tcW w:w="14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1/1/35</w:t>
            </w:r>
          </w:p>
        </w:tc>
        <w:tc>
          <w:tcPr>
            <w:tcW w:w="24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297,125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297,087</w:t>
            </w:r>
          </w:p>
        </w:tc>
        <w:tc>
          <w:tcPr>
            <w:tcW w:w="0" w:type="dxa"/>
            <w:vAlign w:val="bottom"/>
          </w:tcPr>
          <w:p>
            <w:pPr>
              <w:spacing w:after="0"/>
              <w:rPr>
                <w:sz w:val="1"/>
                <w:szCs w:val="1"/>
                <w:color w:val="auto"/>
              </w:rPr>
            </w:pPr>
          </w:p>
        </w:tc>
      </w:tr>
      <w:tr>
        <w:trPr>
          <w:trHeight w:val="185"/>
        </w:trPr>
        <w:tc>
          <w:tcPr>
            <w:tcW w:w="2660" w:type="dxa"/>
            <w:vAlign w:val="bottom"/>
            <w:vMerge w:val="continue"/>
            <w:shd w:val="clear" w:color="auto" w:fill="CCEEFF"/>
          </w:tcPr>
          <w:p>
            <w:pPr>
              <w:spacing w:after="0"/>
              <w:rPr>
                <w:sz w:val="16"/>
                <w:szCs w:val="16"/>
                <w:color w:val="auto"/>
              </w:rPr>
            </w:pPr>
          </w:p>
        </w:tc>
        <w:tc>
          <w:tcPr>
            <w:tcW w:w="3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(ii) Tax Exempt Series 2025 Bonds: 6.625%</w:t>
            </w: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1/1/45</w:t>
            </w:r>
          </w:p>
        </w:tc>
        <w:tc>
          <w:tcPr>
            <w:tcW w:w="24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Senior Notes due 2032</w:t>
            </w:r>
          </w:p>
        </w:tc>
        <w:tc>
          <w:tcPr>
            <w:tcW w:w="34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8.75%</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2/15/32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600,000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3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1,754,892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1,764,538</w:t>
            </w:r>
          </w:p>
        </w:tc>
        <w:tc>
          <w:tcPr>
            <w:tcW w:w="0" w:type="dxa"/>
            <w:vAlign w:val="bottom"/>
          </w:tcPr>
          <w:p>
            <w:pPr>
              <w:spacing w:after="0"/>
              <w:rPr>
                <w:sz w:val="1"/>
                <w:szCs w:val="1"/>
                <w:color w:val="auto"/>
              </w:rPr>
            </w:pPr>
          </w:p>
        </w:tc>
      </w:tr>
      <w:tr>
        <w:trPr>
          <w:trHeight w:val="195"/>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Total debt</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b w:val="1"/>
                <w:bCs w:val="1"/>
                <w:color w:val="auto"/>
              </w:rPr>
              <w:t>3,837,982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3,796,031</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issuance costs</w:t>
            </w:r>
          </w:p>
        </w:tc>
        <w:tc>
          <w:tcPr>
            <w:tcW w:w="3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(24,832)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(21,858)</w:t>
            </w:r>
          </w:p>
        </w:tc>
        <w:tc>
          <w:tcPr>
            <w:tcW w:w="0" w:type="dxa"/>
            <w:vAlign w:val="bottom"/>
          </w:tcPr>
          <w:p>
            <w:pPr>
              <w:spacing w:after="0"/>
              <w:rPr>
                <w:sz w:val="1"/>
                <w:szCs w:val="1"/>
                <w:color w:val="auto"/>
              </w:rPr>
            </w:pPr>
          </w:p>
        </w:tc>
      </w:tr>
      <w:tr>
        <w:trPr>
          <w:trHeight w:val="197"/>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Total debt, net</w:t>
            </w: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3,813,150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3,774,173</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Principal debt due within one year</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b w:val="1"/>
                <w:bCs w:val="1"/>
                <w:color w:val="auto"/>
              </w:rPr>
              <w:t>25,649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66,987</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issuance costs</w:t>
            </w:r>
          </w:p>
        </w:tc>
        <w:tc>
          <w:tcPr>
            <w:tcW w:w="3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133"/>
        </w:trPr>
        <w:tc>
          <w:tcPr>
            <w:tcW w:w="266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Total principal debt, net due within</w:t>
            </w:r>
          </w:p>
        </w:tc>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25,433</w:t>
            </w:r>
          </w:p>
        </w:tc>
        <w:tc>
          <w:tcPr>
            <w:tcW w:w="8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65,438</w:t>
            </w:r>
          </w:p>
        </w:tc>
        <w:tc>
          <w:tcPr>
            <w:tcW w:w="0" w:type="dxa"/>
            <w:vAlign w:val="bottom"/>
          </w:tcPr>
          <w:p>
            <w:pPr>
              <w:spacing w:after="0"/>
              <w:rPr>
                <w:sz w:val="1"/>
                <w:szCs w:val="1"/>
                <w:color w:val="auto"/>
              </w:rPr>
            </w:pPr>
          </w:p>
        </w:tc>
      </w:tr>
      <w:tr>
        <w:trPr>
          <w:trHeight w:val="163"/>
        </w:trPr>
        <w:tc>
          <w:tcPr>
            <w:tcW w:w="266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one year</w:t>
            </w:r>
          </w:p>
        </w:tc>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an unamortized discount of $51,446 and $36,313 at March 31, 2026 and December 31, 2025, respectively.</w:t>
      </w:r>
    </w:p>
    <w:p>
      <w:pPr>
        <w:spacing w:after="0" w:line="68"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See discussion in Note 8 of the Company’s Annual Report on Form 10-K for the year ended December 31, 2025 for extension options related to these debt obligations.</w:t>
      </w:r>
    </w:p>
    <w:p>
      <w:pPr>
        <w:spacing w:after="0" w:line="51" w:lineRule="exact"/>
        <w:rPr>
          <w:rFonts w:ascii="Arial" w:cs="Arial" w:eastAsia="Arial" w:hAnsi="Arial"/>
          <w:sz w:val="9"/>
          <w:szCs w:val="9"/>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See below discussion in Note 7 for details related to the Backstop Agreement for the Series 2024 Bonds.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and December 31, 2025, the weighted average interest rates on our short-term borrowings were 11.0% and 9.7%,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June 2025 Jefferson Credit Agreement Extension and Paydown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January 2026, Jefferson Terminal exercised its option to extend the maturity of its June 2025 Jefferson Credit Agreement to August 31, 2026. In March 2026, we used a portion of the Term Loan Credit Agreement net proceeds (see below) to repay in full and terminate the June 2025 Jefferson Credit Agreement.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Term Loan Credit Agreement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25, 2026, we entered into a credit agreement (the “Term Loan Credit Agreement”), which provides for a $1.35 billion secured term loan facility (the “Term Loan”). The Term Loan matures on February 1, 2028 and accrues interest at a rate of 9.75% per annum. On February 26, 2026, $1.3 billion of the Term Loan was funded, and the remaining $35.4 million was funded on March 10, 2026.</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used the net proceeds from the Term Loan to repay in full all outstanding principal and interest (together with fees, expenses and other amounts owed in connection therewith) under the Bridge Loan Credit Agreement and the June 2025 Jefferson Credit Agreement. We recognized a loss on extinguishment of debt of (i) $39.5 million from the repayment of the Bridge Loan Credit Agreement and (ii) $6.4 million from the repayment of the June 2025 Jefferson Credit Agreement in connection with this transaction.</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connection with the Term Loan, the Company and certain of its subsidiaries provided a first-priority security interest in substantially all of their respective assets, subject to customary exceptions and exclusions.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We incurred $5.6 million of issuance costs related to the Term Loan Credit Agreement.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Jefferson Terminal Backstop Agreement</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16, 2026, Jefferson Terminal signed a commitment letter for a Senior Secured Bridge Facility, pursuant to which the Company may, at its sole option, on or prior to July 1, 2026, elect to borrow from a lender funds in an aggregate principal amount of $255 million pursuant to a bridge facility that will have a maturity date which is 364 days after the close of such bridge facility. If utilized, the proceeds received would be required to be used to repurchase or redeem all outstanding Jefferson Taxable Series 2024B Bonds due July 1, 2026 to the extent that they have not been refinanced by long-term financing at that time.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March 31, 2026.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FAIR VALUE MEASUREMENTS</w:t>
      </w:r>
    </w:p>
    <w:p>
      <w:pPr>
        <w:spacing w:after="0" w:line="12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4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26" w:lineRule="exact"/>
        <w:rPr>
          <w:rFonts w:ascii="Arial" w:cs="Arial" w:eastAsia="Arial" w:hAnsi="Arial"/>
          <w:sz w:val="16"/>
          <w:szCs w:val="16"/>
          <w:color w:val="auto"/>
        </w:rPr>
      </w:pPr>
    </w:p>
    <w:p>
      <w:pPr>
        <w:ind w:left="340" w:hanging="332"/>
        <w:spacing w:after="0" w:line="286"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61" w:lineRule="exact"/>
        <w:rPr>
          <w:rFonts w:ascii="Arial" w:cs="Arial" w:eastAsia="Arial" w:hAnsi="Arial"/>
          <w:sz w:val="16"/>
          <w:szCs w:val="16"/>
          <w:color w:val="auto"/>
        </w:rPr>
      </w:pPr>
    </w:p>
    <w:p>
      <w:pPr>
        <w:ind w:left="340" w:hanging="332"/>
        <w:spacing w:after="0" w:line="286"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2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hanging="332"/>
        <w:spacing w:after="0" w:line="304" w:lineRule="auto"/>
        <w:tabs>
          <w:tab w:leader="none" w:pos="32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33"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note receivable of $13.6 million as of both March 31, 2026 and December 31, 2025, respectively, is related to CarbonFree, a business that develops technologies to capture carbon dioxide from industrial emissions sources. We elected the fair value option for this note receivable to better align the reported results with the underlying changes in the value of this note receivable, and record the balance of the note receivable in Other assets in the Consolidated Balance Sheets. The Company records interest income, which is included in Other income in the Consolidated Statements of Operations, on this note receivable using the contractual interest rate and classifies the note receivable as Level 2 within the fair value hierarchy.</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fair value of our electricity derivative liabilities of $208.9 million and $223.5 million as of March 31, 2026 and December 31, 2025, respectively, are estimated by applying the income approach, which is based on discounted projected future cash flows, and are classified as Level 2 within the fair value hierarchy. The valuation of our electricity derivatives is based on management’s best estimate of certain key assumptions, which include estimated power forward curves, probability of default, and the discount rate.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cash and cash equivalents and restricted cash and cash equivalents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and cash equivalents consist principally of accounts receivable, notes receivable, accounts payable and accrued liabilities, and loans payable, and their fair values approximate their carrying values based on an evaluation of pricing data, vendor quotes, and historical trading activity or due to their short maturity profiles. There have been no changes in Level 1, Level 2, and Level 3 and no changes in valuation techniques for financial instruments measured at fair value on a recurring basis for the periods ended March 31, 2026 and December 31, 2025.</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FIP RR Holdings LLC (“RR Holdings”), a subsidiary of the Company, issued warrants (“Series A Warrants - RailCo”) in connection with the Wheeling Acquisition, in which the fair value of the warrant liabilities was estimated using a Black-Scholes valuation model, which is considered to be a Level 3 fair value measurement. The fair value of the Series A Warrants - RailCo is based on the underlying shares of RR Holdings. These liabilities are presented within Warrant liabilities on the Consolidated Balance Sheets. The warrant liabilities are measured at fair value at inception and on a recurring basis, with changes in fair value of $0.9 million for the three months ended March 31, 2026 presented within Other income in the Consolidated Statements of Operations. The following table presents the key inputs applied in the valuation of the warrant liabilities: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March 31, 2026</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units</w:t>
            </w: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172,500</w:t>
            </w:r>
          </w:p>
        </w:tc>
        <w:tc>
          <w:tcPr>
            <w:tcW w:w="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172,500</w:t>
            </w:r>
          </w:p>
        </w:tc>
      </w:tr>
      <w:tr>
        <w:trPr>
          <w:trHeight w:val="202"/>
        </w:trPr>
        <w:tc>
          <w:tcPr>
            <w:tcW w:w="7360" w:type="dxa"/>
            <w:vAlign w:val="bottom"/>
          </w:tcPr>
          <w:p>
            <w:pPr>
              <w:ind w:left="20"/>
              <w:spacing w:after="0"/>
              <w:rPr>
                <w:sz w:val="20"/>
                <w:szCs w:val="20"/>
                <w:color w:val="auto"/>
              </w:rPr>
            </w:pPr>
            <w:r>
              <w:rPr>
                <w:rFonts w:ascii="Arial" w:cs="Arial" w:eastAsia="Arial" w:hAnsi="Arial"/>
                <w:sz w:val="14"/>
                <w:szCs w:val="14"/>
                <w:color w:val="auto"/>
              </w:rPr>
              <w:t>Fair value at grant date ($ millions)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$85.8</w:t>
            </w:r>
          </w:p>
        </w:tc>
        <w:tc>
          <w:tcPr>
            <w:tcW w:w="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$85.8</w:t>
            </w:r>
          </w:p>
        </w:tc>
      </w:tr>
      <w:tr>
        <w:trPr>
          <w:trHeight w:val="203"/>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Strike price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$676.14</w:t>
            </w:r>
          </w:p>
        </w:tc>
        <w:tc>
          <w:tcPr>
            <w:tcW w:w="8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$761.05</w:t>
            </w:r>
          </w:p>
        </w:tc>
      </w:tr>
      <w:tr>
        <w:trPr>
          <w:trHeight w:val="202"/>
        </w:trPr>
        <w:tc>
          <w:tcPr>
            <w:tcW w:w="73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35.00%</w:t>
            </w:r>
          </w:p>
        </w:tc>
        <w:tc>
          <w:tcPr>
            <w:tcW w:w="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35.00%</w:t>
            </w:r>
          </w:p>
        </w:tc>
      </w:tr>
      <w:tr>
        <w:trPr>
          <w:trHeight w:val="203"/>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interest rate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3.8%</w:t>
            </w:r>
          </w:p>
        </w:tc>
        <w:tc>
          <w:tcPr>
            <w:tcW w:w="8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3.6%</w:t>
            </w:r>
          </w:p>
        </w:tc>
      </w:tr>
      <w:tr>
        <w:trPr>
          <w:trHeight w:val="202"/>
        </w:trPr>
        <w:tc>
          <w:tcPr>
            <w:tcW w:w="736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w:t>
            </w:r>
          </w:p>
        </w:tc>
        <w:tc>
          <w:tcPr>
            <w:tcW w:w="19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03"/>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2.5 years</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2.8 years</w:t>
            </w:r>
          </w:p>
        </w:tc>
      </w:tr>
      <w:tr>
        <w:trPr>
          <w:trHeight w:val="195"/>
        </w:trPr>
        <w:tc>
          <w:tcPr>
            <w:tcW w:w="7360" w:type="dxa"/>
            <w:vAlign w:val="bottom"/>
          </w:tcPr>
          <w:p>
            <w:pPr>
              <w:ind w:left="20"/>
              <w:spacing w:after="0"/>
              <w:rPr>
                <w:sz w:val="20"/>
                <w:szCs w:val="20"/>
                <w:color w:val="auto"/>
              </w:rPr>
            </w:pPr>
            <w:r>
              <w:rPr>
                <w:rFonts w:ascii="Arial" w:cs="Arial" w:eastAsia="Arial" w:hAnsi="Arial"/>
                <w:sz w:val="14"/>
                <w:szCs w:val="14"/>
                <w:color w:val="auto"/>
              </w:rPr>
              <w:t>Warrant fair value (per share)</w:t>
            </w: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$478.29</w:t>
            </w:r>
          </w:p>
        </w:tc>
        <w:tc>
          <w:tcPr>
            <w:tcW w:w="80" w:type="dxa"/>
            <w:vAlign w:val="bottom"/>
          </w:tcPr>
          <w:p>
            <w:pPr>
              <w:spacing w:after="0"/>
              <w:rPr>
                <w:sz w:val="16"/>
                <w:szCs w:val="16"/>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$473.04</w:t>
            </w:r>
          </w:p>
        </w:tc>
      </w:tr>
      <w:tr>
        <w:trPr>
          <w:trHeight w:val="22"/>
        </w:trPr>
        <w:tc>
          <w:tcPr>
            <w:tcW w:w="7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Level 3 Reconciliation</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is a reconciliation of the beginning and ending balances of recurring fair value measurements recognized in the accompanying Consolidated Balance Sheet using significant unobservable (Level 3) inputs:</w:t>
      </w:r>
    </w:p>
    <w:p>
      <w:pPr>
        <w:sectPr>
          <w:pgSz w:w="11900" w:h="16838" w:orient="portrait"/>
          <w:cols w:equalWidth="0" w:num="1">
            <w:col w:w="11240"/>
          </w:cols>
          <w:pgMar w:left="320" w:top="122" w:right="339" w:bottom="1440" w:gutter="0" w:footer="0" w:header="0"/>
        </w:sect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and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Unrealized losses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 March 31, 2026</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Warrants</w:t>
      </w:r>
    </w:p>
    <w:p>
      <w:pPr>
        <w:spacing w:after="0" w:line="55" w:lineRule="exact"/>
        <w:rPr>
          <w:sz w:val="20"/>
          <w:szCs w:val="20"/>
          <w:color w:val="auto"/>
        </w:rPr>
      </w:pPr>
    </w:p>
    <w:p>
      <w:pPr>
        <w:ind w:left="1320" w:hanging="1312"/>
        <w:spacing w:after="0"/>
        <w:tabs>
          <w:tab w:leader="none" w:pos="1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(81,599)</w:t>
      </w:r>
    </w:p>
    <w:p>
      <w:pPr>
        <w:spacing w:after="0" w:line="41" w:lineRule="exact"/>
        <w:rPr>
          <w:rFonts w:ascii="Arial" w:cs="Arial" w:eastAsia="Arial" w:hAnsi="Arial"/>
          <w:sz w:val="14"/>
          <w:szCs w:val="14"/>
          <w:color w:val="auto"/>
        </w:rPr>
      </w:pPr>
    </w:p>
    <w:p>
      <w:pPr>
        <w:ind w:left="1660"/>
        <w:spacing w:after="0"/>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200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5" w:lineRule="exact"/>
        <w:rPr>
          <w:sz w:val="20"/>
          <w:szCs w:val="20"/>
          <w:color w:val="auto"/>
        </w:rPr>
      </w:pPr>
    </w:p>
    <w:p>
      <w:pPr>
        <w:ind w:left="1320" w:hanging="1312"/>
        <w:spacing w:after="0"/>
        <w:tabs>
          <w:tab w:leader="none" w:pos="13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(82,506)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200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49530</wp:posOffset>
            </wp:positionV>
            <wp:extent cx="1200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640" w:space="720"/>
            <w:col w:w="1880"/>
          </w:cols>
          <w:pgMar w:left="320" w:top="122" w:right="3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notes payable and loans payable reported as Debt, net in the Consolidated Balance Sheets are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Series 2020A Bonds </w:t>
            </w:r>
            <w:r>
              <w:rPr>
                <w:rFonts w:ascii="Arial" w:cs="Arial" w:eastAsia="Arial" w:hAnsi="Arial"/>
                <w:sz w:val="9"/>
                <w:szCs w:val="9"/>
                <w:color w:val="auto"/>
              </w:rPr>
              <w:t>(1)</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111,630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115,979</w:t>
            </w:r>
          </w:p>
        </w:tc>
      </w:tr>
      <w:tr>
        <w:trPr>
          <w:trHeight w:val="201"/>
        </w:trPr>
        <w:tc>
          <w:tcPr>
            <w:tcW w:w="7360" w:type="dxa"/>
            <w:vAlign w:val="bottom"/>
          </w:tcPr>
          <w:p>
            <w:pPr>
              <w:ind w:left="20"/>
              <w:spacing w:after="0"/>
              <w:rPr>
                <w:sz w:val="20"/>
                <w:szCs w:val="20"/>
                <w:color w:val="auto"/>
              </w:rPr>
            </w:pPr>
            <w:r>
              <w:rPr>
                <w:rFonts w:ascii="Arial" w:cs="Arial" w:eastAsia="Arial" w:hAnsi="Arial"/>
                <w:sz w:val="14"/>
                <w:szCs w:val="14"/>
                <w:color w:val="auto"/>
              </w:rPr>
              <w:t xml:space="preserve">Series 2021A Bonds </w:t>
            </w:r>
            <w:r>
              <w:rPr>
                <w:rFonts w:ascii="Arial" w:cs="Arial" w:eastAsia="Arial" w:hAnsi="Arial"/>
                <w:sz w:val="9"/>
                <w:szCs w:val="9"/>
                <w:color w:val="auto"/>
              </w:rPr>
              <w:t>(1)</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105,604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120,448</w:t>
            </w:r>
          </w:p>
        </w:tc>
      </w:tr>
      <w:tr>
        <w:trPr>
          <w:trHeight w:val="204"/>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2021B Bonds </w:t>
            </w:r>
            <w:r>
              <w:rPr>
                <w:rFonts w:ascii="Arial" w:cs="Arial" w:eastAsia="Arial" w:hAnsi="Arial"/>
                <w:sz w:val="9"/>
                <w:szCs w:val="9"/>
                <w:color w:val="auto"/>
              </w:rPr>
              <w:t>(1)</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182,198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182,630</w:t>
            </w:r>
          </w:p>
        </w:tc>
      </w:tr>
      <w:tr>
        <w:trPr>
          <w:trHeight w:val="201"/>
        </w:trPr>
        <w:tc>
          <w:tcPr>
            <w:tcW w:w="7360" w:type="dxa"/>
            <w:vAlign w:val="bottom"/>
          </w:tcPr>
          <w:p>
            <w:pPr>
              <w:ind w:left="20"/>
              <w:spacing w:after="0"/>
              <w:rPr>
                <w:sz w:val="20"/>
                <w:szCs w:val="20"/>
                <w:color w:val="auto"/>
              </w:rPr>
            </w:pPr>
            <w:r>
              <w:rPr>
                <w:rFonts w:ascii="Arial" w:cs="Arial" w:eastAsia="Arial" w:hAnsi="Arial"/>
                <w:sz w:val="14"/>
                <w:szCs w:val="14"/>
                <w:color w:val="auto"/>
              </w:rPr>
              <w:t xml:space="preserve">Series 2024A Bonds </w:t>
            </w:r>
            <w:r>
              <w:rPr>
                <w:rFonts w:ascii="Arial" w:cs="Arial" w:eastAsia="Arial" w:hAnsi="Arial"/>
                <w:sz w:val="9"/>
                <w:szCs w:val="9"/>
                <w:color w:val="auto"/>
              </w:rPr>
              <w:t>(1)</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153,371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160,802</w:t>
            </w:r>
          </w:p>
        </w:tc>
      </w:tr>
      <w:tr>
        <w:trPr>
          <w:trHeight w:val="204"/>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2024B Bonds </w:t>
            </w:r>
            <w:r>
              <w:rPr>
                <w:rFonts w:ascii="Arial" w:cs="Arial" w:eastAsia="Arial" w:hAnsi="Arial"/>
                <w:sz w:val="9"/>
                <w:szCs w:val="9"/>
                <w:color w:val="auto"/>
              </w:rPr>
              <w:t>(1)</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218,380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222,949</w:t>
            </w:r>
          </w:p>
        </w:tc>
      </w:tr>
      <w:tr>
        <w:trPr>
          <w:trHeight w:val="201"/>
        </w:trPr>
        <w:tc>
          <w:tcPr>
            <w:tcW w:w="7360" w:type="dxa"/>
            <w:vAlign w:val="bottom"/>
          </w:tcPr>
          <w:p>
            <w:pPr>
              <w:ind w:left="20"/>
              <w:spacing w:after="0"/>
              <w:rPr>
                <w:sz w:val="20"/>
                <w:szCs w:val="20"/>
                <w:color w:val="auto"/>
              </w:rPr>
            </w:pPr>
            <w:r>
              <w:rPr>
                <w:rFonts w:ascii="Arial" w:cs="Arial" w:eastAsia="Arial" w:hAnsi="Arial"/>
                <w:sz w:val="14"/>
                <w:szCs w:val="14"/>
                <w:color w:val="auto"/>
              </w:rPr>
              <w:t xml:space="preserve">Series 2025 Bonds </w:t>
            </w:r>
            <w:r>
              <w:rPr>
                <w:rFonts w:ascii="Arial" w:cs="Arial" w:eastAsia="Arial" w:hAnsi="Arial"/>
                <w:sz w:val="9"/>
                <w:szCs w:val="9"/>
                <w:color w:val="auto"/>
              </w:rPr>
              <w:t>(1)</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312,831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309,285</w:t>
            </w:r>
          </w:p>
        </w:tc>
      </w:tr>
      <w:tr>
        <w:trPr>
          <w:trHeight w:val="204"/>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2032 </w:t>
            </w:r>
            <w:r>
              <w:rPr>
                <w:rFonts w:ascii="Arial" w:cs="Arial" w:eastAsia="Arial" w:hAnsi="Arial"/>
                <w:sz w:val="9"/>
                <w:szCs w:val="9"/>
                <w:color w:val="auto"/>
              </w:rPr>
              <w:t>(1)</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630,894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638,880</w:t>
            </w:r>
          </w:p>
        </w:tc>
      </w:tr>
      <w:tr>
        <w:trPr>
          <w:trHeight w:val="201"/>
        </w:trPr>
        <w:tc>
          <w:tcPr>
            <w:tcW w:w="7360" w:type="dxa"/>
            <w:vAlign w:val="bottom"/>
          </w:tcPr>
          <w:p>
            <w:pPr>
              <w:ind w:left="20"/>
              <w:spacing w:after="0"/>
              <w:rPr>
                <w:sz w:val="20"/>
                <w:szCs w:val="20"/>
                <w:color w:val="auto"/>
              </w:rPr>
            </w:pPr>
            <w:r>
              <w:rPr>
                <w:rFonts w:ascii="Arial" w:cs="Arial" w:eastAsia="Arial" w:hAnsi="Arial"/>
                <w:sz w:val="14"/>
                <w:szCs w:val="14"/>
                <w:color w:val="auto"/>
              </w:rPr>
              <w:t>EB-5 Loan Agreement</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23,860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25,536</w:t>
            </w:r>
          </w:p>
        </w:tc>
      </w:tr>
      <w:tr>
        <w:trPr>
          <w:trHeight w:val="203"/>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EB-5.2 Loan Agreement</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9,529</w:t>
            </w:r>
          </w:p>
        </w:tc>
      </w:tr>
      <w:tr>
        <w:trPr>
          <w:trHeight w:val="201"/>
        </w:trPr>
        <w:tc>
          <w:tcPr>
            <w:tcW w:w="7360" w:type="dxa"/>
            <w:vAlign w:val="bottom"/>
          </w:tcPr>
          <w:p>
            <w:pPr>
              <w:ind w:left="20"/>
              <w:spacing w:after="0"/>
              <w:rPr>
                <w:sz w:val="20"/>
                <w:szCs w:val="20"/>
                <w:color w:val="auto"/>
              </w:rPr>
            </w:pPr>
            <w:r>
              <w:rPr>
                <w:rFonts w:ascii="Arial" w:cs="Arial" w:eastAsia="Arial" w:hAnsi="Arial"/>
                <w:sz w:val="14"/>
                <w:szCs w:val="14"/>
                <w:color w:val="auto"/>
              </w:rPr>
              <w:t>EB-5.3 Loan Agreement</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25,525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25,315</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9"/>
          <w:szCs w:val="9"/>
          <w:color w:val="auto"/>
        </w:rPr>
      </w:pPr>
      <w:r>
        <w:rPr>
          <w:rFonts w:ascii="Arial" w:cs="Arial" w:eastAsia="Arial" w:hAnsi="Arial"/>
          <w:sz w:val="14"/>
          <w:szCs w:val="14"/>
          <w:color w:val="auto"/>
        </w:rPr>
        <w:t>Fair value is based upon market prices for similar municipal securities.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fair value of all other items reported as Debt, net in the Consolidated Balance Sheets approximates their carrying values due to their bearing market rates of interest and are classified as Level 2 within the fair value hierarchy.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DERIVATIVE FINANCIAL INSTRUMENTS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Long Ridge Energy &amp; Power LLC is subject to electricity price volatility stemming from the sales of electricity from the Long Ridge power generation plant. Long Ridge Energy &amp; Power LLC enters into electricity swap agreements to manage our exposure to electricity price fluctuations. The electricity swap derivatives are designated as hedging instruments within cash flow hedging relationships. The Company recognizes the realized gain or loss in Revenues in our Consolidated Statements of Operations.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March 31, 2026, we have a $10.0 million letter of credit and a $1.0 million letter of credit that have been provided to electricity swap counterparties and will mature on February 26, 2028 and February 10, 2027,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for our fair value measurement of derivative financial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outstanding derivative contracts as of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2026</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1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Pr>
          <w:p>
            <w:pPr>
              <w:spacing w:after="0"/>
              <w:rPr>
                <w:sz w:val="12"/>
                <w:szCs w:val="12"/>
                <w:color w:val="auto"/>
              </w:rPr>
            </w:pPr>
          </w:p>
        </w:tc>
        <w:tc>
          <w:tcPr>
            <w:tcW w:w="1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of Assets</w:t>
            </w:r>
          </w:p>
        </w:tc>
        <w:tc>
          <w:tcPr>
            <w:tcW w:w="200" w:type="dxa"/>
            <w:vAlign w:val="bottom"/>
          </w:tcPr>
          <w:p>
            <w:pPr>
              <w:spacing w:after="0"/>
              <w:rPr>
                <w:sz w:val="12"/>
                <w:szCs w:val="12"/>
                <w:color w:val="auto"/>
              </w:rPr>
            </w:pPr>
          </w:p>
        </w:tc>
        <w:tc>
          <w:tcPr>
            <w:tcW w:w="1240" w:type="dxa"/>
            <w:vAlign w:val="bottom"/>
          </w:tcPr>
          <w:p>
            <w:pPr>
              <w:jc w:val="center"/>
              <w:ind w:right="128"/>
              <w:spacing w:after="0" w:line="147" w:lineRule="exact"/>
              <w:rPr>
                <w:sz w:val="20"/>
                <w:szCs w:val="20"/>
                <w:color w:val="auto"/>
              </w:rPr>
            </w:pPr>
            <w:r>
              <w:rPr>
                <w:rFonts w:ascii="Arial" w:cs="Arial" w:eastAsia="Arial" w:hAnsi="Arial"/>
                <w:sz w:val="14"/>
                <w:szCs w:val="14"/>
                <w:b w:val="1"/>
                <w:bCs w:val="1"/>
                <w:color w:val="auto"/>
                <w:w w:val="99"/>
              </w:rPr>
              <w:t>Fair Value of</w:t>
            </w:r>
          </w:p>
        </w:tc>
        <w:tc>
          <w:tcPr>
            <w:tcW w:w="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8"/>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Cash Flow Hedges:</w:t>
            </w:r>
          </w:p>
        </w:tc>
        <w:tc>
          <w:tcPr>
            <w:tcW w:w="1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20"/>
              <w:spacing w:after="0"/>
              <w:rPr>
                <w:sz w:val="20"/>
                <w:szCs w:val="20"/>
                <w:color w:val="auto"/>
              </w:rPr>
            </w:pPr>
            <w:r>
              <w:rPr>
                <w:rFonts w:ascii="Arial" w:cs="Arial" w:eastAsia="Arial" w:hAnsi="Arial"/>
                <w:sz w:val="14"/>
                <w:szCs w:val="14"/>
                <w:color w:val="auto"/>
              </w:rPr>
              <w:t>Electricity Swaps (MWh)</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741,777</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(208,873)</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3 to 6 Years</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Non-Hedge Derivative Instruments: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20"/>
              <w:spacing w:after="0"/>
              <w:rPr>
                <w:sz w:val="20"/>
                <w:szCs w:val="20"/>
                <w:color w:val="auto"/>
              </w:rPr>
            </w:pPr>
            <w:r>
              <w:rPr>
                <w:rFonts w:ascii="Arial" w:cs="Arial" w:eastAsia="Arial" w:hAnsi="Arial"/>
                <w:sz w:val="14"/>
                <w:szCs w:val="14"/>
                <w:color w:val="auto"/>
              </w:rPr>
              <w:t>Interest Rate Swaps ($)</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200,000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2 Years</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Natural Gas Forward Prices (MMBtu)</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2,425</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0.1 Years</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(208,938)</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48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1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Pr>
          <w:p>
            <w:pPr>
              <w:spacing w:after="0"/>
              <w:rPr>
                <w:sz w:val="12"/>
                <w:szCs w:val="12"/>
                <w:color w:val="auto"/>
              </w:rPr>
            </w:pPr>
          </w:p>
        </w:tc>
        <w:tc>
          <w:tcPr>
            <w:tcW w:w="1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of Assets</w:t>
            </w:r>
          </w:p>
        </w:tc>
        <w:tc>
          <w:tcPr>
            <w:tcW w:w="200" w:type="dxa"/>
            <w:vAlign w:val="bottom"/>
          </w:tcPr>
          <w:p>
            <w:pPr>
              <w:spacing w:after="0"/>
              <w:rPr>
                <w:sz w:val="12"/>
                <w:szCs w:val="12"/>
                <w:color w:val="auto"/>
              </w:rPr>
            </w:pPr>
          </w:p>
        </w:tc>
        <w:tc>
          <w:tcPr>
            <w:tcW w:w="1240" w:type="dxa"/>
            <w:vAlign w:val="bottom"/>
          </w:tcPr>
          <w:p>
            <w:pPr>
              <w:jc w:val="center"/>
              <w:ind w:right="128"/>
              <w:spacing w:after="0" w:line="147" w:lineRule="exact"/>
              <w:rPr>
                <w:sz w:val="20"/>
                <w:szCs w:val="20"/>
                <w:color w:val="auto"/>
              </w:rPr>
            </w:pPr>
            <w:r>
              <w:rPr>
                <w:rFonts w:ascii="Arial" w:cs="Arial" w:eastAsia="Arial" w:hAnsi="Arial"/>
                <w:sz w:val="14"/>
                <w:szCs w:val="14"/>
                <w:b w:val="1"/>
                <w:bCs w:val="1"/>
                <w:color w:val="auto"/>
                <w:w w:val="99"/>
              </w:rPr>
              <w:t>Fair Value of</w:t>
            </w:r>
          </w:p>
        </w:tc>
        <w:tc>
          <w:tcPr>
            <w:tcW w:w="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8"/>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Cash Flow Hedges:</w:t>
            </w:r>
          </w:p>
        </w:tc>
        <w:tc>
          <w:tcPr>
            <w:tcW w:w="1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80" w:type="dxa"/>
            <w:vAlign w:val="bottom"/>
          </w:tcPr>
          <w:p>
            <w:pPr>
              <w:ind w:left="20"/>
              <w:spacing w:after="0"/>
              <w:rPr>
                <w:sz w:val="20"/>
                <w:szCs w:val="20"/>
                <w:color w:val="auto"/>
              </w:rPr>
            </w:pPr>
            <w:r>
              <w:rPr>
                <w:rFonts w:ascii="Arial" w:cs="Arial" w:eastAsia="Arial" w:hAnsi="Arial"/>
                <w:sz w:val="14"/>
                <w:szCs w:val="14"/>
                <w:color w:val="auto"/>
              </w:rPr>
              <w:t>Electricity Swaps (MWh)</w:t>
            </w:r>
          </w:p>
        </w:tc>
        <w:tc>
          <w:tcPr>
            <w:tcW w:w="1740" w:type="dxa"/>
            <w:vAlign w:val="bottom"/>
          </w:tcPr>
          <w:p>
            <w:pPr>
              <w:jc w:val="right"/>
              <w:spacing w:after="0"/>
              <w:rPr>
                <w:sz w:val="20"/>
                <w:szCs w:val="20"/>
                <w:color w:val="auto"/>
              </w:rPr>
            </w:pPr>
            <w:r>
              <w:rPr>
                <w:rFonts w:ascii="Arial" w:cs="Arial" w:eastAsia="Arial" w:hAnsi="Arial"/>
                <w:sz w:val="14"/>
                <w:szCs w:val="14"/>
                <w:color w:val="auto"/>
              </w:rPr>
              <w:t>774,728</w:t>
            </w:r>
          </w:p>
        </w:tc>
        <w:tc>
          <w:tcPr>
            <w:tcW w:w="12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(222,894)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3 to 6 Years</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Non-Hedge Derivative Instruments: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80" w:type="dxa"/>
            <w:vAlign w:val="bottom"/>
          </w:tcPr>
          <w:p>
            <w:pPr>
              <w:ind w:left="20"/>
              <w:spacing w:after="0"/>
              <w:rPr>
                <w:sz w:val="20"/>
                <w:szCs w:val="20"/>
                <w:color w:val="auto"/>
              </w:rPr>
            </w:pPr>
            <w:r>
              <w:rPr>
                <w:rFonts w:ascii="Arial" w:cs="Arial" w:eastAsia="Arial" w:hAnsi="Arial"/>
                <w:sz w:val="14"/>
                <w:szCs w:val="14"/>
                <w:color w:val="auto"/>
              </w:rPr>
              <w:t>Interest Rate Swaps ($)</w:t>
            </w:r>
          </w:p>
        </w:tc>
        <w:tc>
          <w:tcPr>
            <w:tcW w:w="174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2 Years</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Natural Gas Forward Prices (MMBtu)</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0 Years</w:t>
            </w:r>
          </w:p>
        </w:tc>
        <w:tc>
          <w:tcPr>
            <w:tcW w:w="0" w:type="dxa"/>
            <w:vAlign w:val="bottom"/>
          </w:tcPr>
          <w:p>
            <w:pPr>
              <w:spacing w:after="0"/>
              <w:rPr>
                <w:sz w:val="1"/>
                <w:szCs w:val="1"/>
                <w:color w:val="auto"/>
              </w:rPr>
            </w:pPr>
          </w:p>
        </w:tc>
      </w:tr>
      <w:tr>
        <w:trPr>
          <w:trHeight w:val="200"/>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74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(223,497)</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electricity swap, interest rate swap and natural gas forward derivatives: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 2026</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80" w:type="dxa"/>
            <w:vAlign w:val="bottom"/>
          </w:tcPr>
          <w:p>
            <w:pPr>
              <w:spacing w:after="0"/>
              <w:rPr>
                <w:sz w:val="12"/>
                <w:szCs w:val="12"/>
                <w:color w:val="auto"/>
              </w:rPr>
            </w:pPr>
          </w:p>
        </w:tc>
        <w:tc>
          <w:tcPr>
            <w:tcW w:w="142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Electricity Swaps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Natural Gas</w:t>
            </w:r>
          </w:p>
        </w:tc>
        <w:tc>
          <w:tcPr>
            <w:tcW w:w="480" w:type="dxa"/>
            <w:vAlign w:val="bottom"/>
          </w:tcPr>
          <w:p>
            <w:pPr>
              <w:spacing w:after="0"/>
              <w:rPr>
                <w:sz w:val="12"/>
                <w:szCs w:val="12"/>
                <w:color w:val="auto"/>
              </w:rPr>
            </w:pPr>
          </w:p>
        </w:tc>
        <w:tc>
          <w:tcPr>
            <w:tcW w:w="8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568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Swaps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Forward</w:t>
            </w:r>
          </w:p>
        </w:tc>
        <w:tc>
          <w:tcPr>
            <w:tcW w:w="4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(222,894)</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(223,497)</w:t>
            </w:r>
          </w:p>
        </w:tc>
        <w:tc>
          <w:tcPr>
            <w:tcW w:w="0" w:type="dxa"/>
            <w:vAlign w:val="bottom"/>
          </w:tcPr>
          <w:p>
            <w:pPr>
              <w:spacing w:after="0"/>
              <w:rPr>
                <w:sz w:val="1"/>
                <w:szCs w:val="1"/>
                <w:color w:val="auto"/>
              </w:rPr>
            </w:pPr>
          </w:p>
        </w:tc>
      </w:tr>
      <w:tr>
        <w:trPr>
          <w:trHeight w:val="202"/>
        </w:trPr>
        <w:tc>
          <w:tcPr>
            <w:tcW w:w="5680" w:type="dxa"/>
            <w:vAlign w:val="bottom"/>
          </w:tcPr>
          <w:p>
            <w:pPr>
              <w:ind w:left="20"/>
              <w:spacing w:after="0"/>
              <w:rPr>
                <w:sz w:val="20"/>
                <w:szCs w:val="20"/>
                <w:color w:val="auto"/>
              </w:rPr>
            </w:pPr>
            <w:r>
              <w:rPr>
                <w:rFonts w:ascii="Arial" w:cs="Arial" w:eastAsia="Arial" w:hAnsi="Arial"/>
                <w:sz w:val="14"/>
                <w:szCs w:val="14"/>
                <w:color w:val="auto"/>
              </w:rPr>
              <w:t xml:space="preserve">Net unrealized (losses) gains recognized in earnings </w:t>
            </w:r>
            <w:r>
              <w:rPr>
                <w:rFonts w:ascii="Arial" w:cs="Arial" w:eastAsia="Arial" w:hAnsi="Arial"/>
                <w:sz w:val="9"/>
                <w:szCs w:val="9"/>
                <w:color w:val="auto"/>
              </w:rPr>
              <w:t>(1)</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417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715</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 losses settled in other comprehensive loss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26,196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26,196</w:t>
            </w:r>
          </w:p>
        </w:tc>
        <w:tc>
          <w:tcPr>
            <w:tcW w:w="0" w:type="dxa"/>
            <w:vAlign w:val="bottom"/>
          </w:tcPr>
          <w:p>
            <w:pPr>
              <w:spacing w:after="0"/>
              <w:rPr>
                <w:sz w:val="1"/>
                <w:szCs w:val="1"/>
                <w:color w:val="auto"/>
              </w:rPr>
            </w:pPr>
          </w:p>
        </w:tc>
      </w:tr>
      <w:tr>
        <w:trPr>
          <w:trHeight w:val="202"/>
        </w:trPr>
        <w:tc>
          <w:tcPr>
            <w:tcW w:w="5680" w:type="dxa"/>
            <w:vAlign w:val="bottom"/>
          </w:tcPr>
          <w:p>
            <w:pPr>
              <w:ind w:left="20"/>
              <w:spacing w:after="0"/>
              <w:rPr>
                <w:sz w:val="20"/>
                <w:szCs w:val="20"/>
                <w:color w:val="auto"/>
              </w:rPr>
            </w:pPr>
            <w:r>
              <w:rPr>
                <w:rFonts w:ascii="Arial" w:cs="Arial" w:eastAsia="Arial" w:hAnsi="Arial"/>
                <w:sz w:val="14"/>
                <w:szCs w:val="14"/>
                <w:color w:val="auto"/>
              </w:rPr>
              <w:t>Unrealized losses recognized in other comprehensive loss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(12,106)</w:t>
            </w:r>
          </w:p>
        </w:tc>
        <w:tc>
          <w:tcPr>
            <w:tcW w:w="0" w:type="dxa"/>
            <w:vAlign w:val="bottom"/>
          </w:tcPr>
          <w:p>
            <w:pPr>
              <w:spacing w:after="0"/>
              <w:rPr>
                <w:sz w:val="1"/>
                <w:szCs w:val="1"/>
                <w:color w:val="auto"/>
              </w:rPr>
            </w:pPr>
          </w:p>
        </w:tc>
      </w:tr>
      <w:tr>
        <w:trPr>
          <w:trHeight w:val="222"/>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(208,873)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(208,692)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b w:val="1"/>
                <w:bCs w:val="1"/>
                <w:color w:val="auto"/>
              </w:rPr>
              <w:t>Three Months Ended March 31, 2025</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Electricity Swaps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Interest Rate</w:t>
            </w:r>
          </w:p>
        </w:tc>
        <w:tc>
          <w:tcPr>
            <w:tcW w:w="480" w:type="dxa"/>
            <w:vAlign w:val="bottom"/>
          </w:tcPr>
          <w:p>
            <w:pPr>
              <w:spacing w:after="0"/>
              <w:rPr>
                <w:sz w:val="12"/>
                <w:szCs w:val="12"/>
                <w:color w:val="auto"/>
              </w:rPr>
            </w:pPr>
          </w:p>
        </w:tc>
        <w:tc>
          <w:tcPr>
            <w:tcW w:w="8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56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Swaps</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4"/>
                <w:szCs w:val="14"/>
                <w:color w:val="auto"/>
              </w:rPr>
              <w:t>Acquisition of derivative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(197,795)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(197,795)</w:t>
            </w:r>
          </w:p>
        </w:tc>
        <w:tc>
          <w:tcPr>
            <w:tcW w:w="0" w:type="dxa"/>
            <w:vAlign w:val="bottom"/>
          </w:tcPr>
          <w:p>
            <w:pPr>
              <w:spacing w:after="0"/>
              <w:rPr>
                <w:sz w:val="1"/>
                <w:szCs w:val="1"/>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Payoff of hedge</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67,005</w:t>
            </w: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Net unrealized losses recognized in earnings </w:t>
            </w:r>
            <w:r>
              <w:rPr>
                <w:rFonts w:ascii="Arial" w:cs="Arial" w:eastAsia="Arial" w:hAnsi="Arial"/>
                <w:sz w:val="18"/>
                <w:szCs w:val="18"/>
                <w:color w:val="auto"/>
                <w:vertAlign w:val="superscript"/>
              </w:rPr>
              <w:t>(1)</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 losses settled in other comprehensive loss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4"/>
                <w:szCs w:val="14"/>
                <w:color w:val="auto"/>
              </w:rPr>
              <w:t>Unrealized losses recognized in other comprehensive loss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(24,050)</w:t>
            </w:r>
          </w:p>
        </w:tc>
        <w:tc>
          <w:tcPr>
            <w:tcW w:w="0" w:type="dxa"/>
            <w:vAlign w:val="bottom"/>
          </w:tcPr>
          <w:p>
            <w:pPr>
              <w:spacing w:after="0"/>
              <w:rPr>
                <w:sz w:val="1"/>
                <w:szCs w:val="1"/>
                <w:color w:val="auto"/>
              </w:rPr>
            </w:pPr>
          </w:p>
        </w:tc>
      </w:tr>
      <w:tr>
        <w:trPr>
          <w:trHeight w:val="225"/>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(153,924)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firstLine="8"/>
        <w:spacing w:after="0" w:line="238" w:lineRule="auto"/>
        <w:tabs>
          <w:tab w:leader="none" w:pos="16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Interest rate swaps are recognized in Interest expense in the Consolidated Statements of Operations. Natural gas forwards are recognized in Revenues in the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REVENUES</w:t>
      </w:r>
    </w:p>
    <w:p>
      <w:pPr>
        <w:spacing w:after="0" w:line="12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We disaggregate our revenue from contracts with customers by products and services provided for each of our segments, as we believe it best depicts the nature, amount, timing and uncertainty of our revenue. Revenues are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unless otherwise noted. We have elected to exclude sales and other similar taxes from revenues.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March 31, 2026</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Ports and Terminals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Railroad</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Repauno</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Power and Gas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2,495</w:t>
            </w:r>
          </w:p>
        </w:tc>
        <w:tc>
          <w:tcPr>
            <w:tcW w:w="0" w:type="dxa"/>
            <w:vAlign w:val="bottom"/>
          </w:tcPr>
          <w:p>
            <w:pPr>
              <w:spacing w:after="0"/>
              <w:rPr>
                <w:sz w:val="1"/>
                <w:szCs w:val="1"/>
                <w:color w:val="auto"/>
              </w:rPr>
            </w:pPr>
          </w:p>
        </w:tc>
      </w:tr>
      <w:tr>
        <w:trPr>
          <w:trHeight w:val="202"/>
        </w:trPr>
        <w:tc>
          <w:tcPr>
            <w:tcW w:w="298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270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82,293</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26,678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28,308</w:t>
            </w:r>
          </w:p>
        </w:tc>
        <w:tc>
          <w:tcPr>
            <w:tcW w:w="0" w:type="dxa"/>
            <w:vAlign w:val="bottom"/>
          </w:tcPr>
          <w:p>
            <w:pPr>
              <w:spacing w:after="0"/>
              <w:rPr>
                <w:sz w:val="1"/>
                <w:szCs w:val="1"/>
                <w:color w:val="auto"/>
              </w:rPr>
            </w:pPr>
          </w:p>
        </w:tc>
      </w:tr>
      <w:tr>
        <w:trPr>
          <w:trHeight w:val="202"/>
        </w:trPr>
        <w:tc>
          <w:tcPr>
            <w:tcW w:w="2980" w:type="dxa"/>
            <w:vAlign w:val="bottom"/>
          </w:tcPr>
          <w:p>
            <w:pPr>
              <w:ind w:left="20"/>
              <w:spacing w:after="0"/>
              <w:rPr>
                <w:sz w:val="20"/>
                <w:szCs w:val="20"/>
                <w:color w:val="auto"/>
              </w:rPr>
            </w:pPr>
            <w:r>
              <w:rPr>
                <w:rFonts w:ascii="Arial" w:cs="Arial" w:eastAsia="Arial" w:hAnsi="Arial"/>
                <w:sz w:val="14"/>
                <w:szCs w:val="14"/>
                <w:color w:val="auto"/>
              </w:rPr>
              <w:t>Roadside services revenues</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12,554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12,554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 revenues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45,628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45,628</w:t>
            </w:r>
          </w:p>
        </w:tc>
        <w:tc>
          <w:tcPr>
            <w:tcW w:w="0" w:type="dxa"/>
            <w:vAlign w:val="bottom"/>
          </w:tcPr>
          <w:p>
            <w:pPr>
              <w:spacing w:after="0"/>
              <w:rPr>
                <w:sz w:val="1"/>
                <w:szCs w:val="1"/>
                <w:color w:val="auto"/>
              </w:rPr>
            </w:pPr>
          </w:p>
        </w:tc>
      </w:tr>
      <w:tr>
        <w:trPr>
          <w:trHeight w:val="202"/>
        </w:trPr>
        <w:tc>
          <w:tcPr>
            <w:tcW w:w="2980" w:type="dxa"/>
            <w:vAlign w:val="bottom"/>
          </w:tcPr>
          <w:p>
            <w:pPr>
              <w:ind w:left="20"/>
              <w:spacing w:after="0"/>
              <w:rPr>
                <w:sz w:val="20"/>
                <w:szCs w:val="20"/>
                <w:color w:val="auto"/>
              </w:rPr>
            </w:pPr>
            <w:r>
              <w:rPr>
                <w:rFonts w:ascii="Arial" w:cs="Arial" w:eastAsia="Arial" w:hAnsi="Arial"/>
                <w:sz w:val="14"/>
                <w:szCs w:val="14"/>
                <w:color w:val="auto"/>
              </w:rPr>
              <w:t>Gas revenues</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15,956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15,956</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1,130</w:t>
            </w: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85,008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27,318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62,006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12,824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188,364</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March 31, 2025</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Ports and Terminals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Railroad</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Repauno</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Power and Gas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98"/>
        </w:trPr>
        <w:tc>
          <w:tcPr>
            <w:tcW w:w="298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42,174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42,174</w:t>
            </w: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22,705</w:t>
            </w:r>
          </w:p>
        </w:tc>
        <w:tc>
          <w:tcPr>
            <w:tcW w:w="0" w:type="dxa"/>
            <w:vAlign w:val="bottom"/>
          </w:tcPr>
          <w:p>
            <w:pPr>
              <w:spacing w:after="0"/>
              <w:rPr>
                <w:sz w:val="1"/>
                <w:szCs w:val="1"/>
                <w:color w:val="auto"/>
              </w:rPr>
            </w:pPr>
          </w:p>
        </w:tc>
      </w:tr>
      <w:tr>
        <w:trPr>
          <w:trHeight w:val="198"/>
        </w:trPr>
        <w:tc>
          <w:tcPr>
            <w:tcW w:w="2980" w:type="dxa"/>
            <w:vAlign w:val="bottom"/>
          </w:tcPr>
          <w:p>
            <w:pPr>
              <w:ind w:left="20"/>
              <w:spacing w:after="0"/>
              <w:rPr>
                <w:sz w:val="20"/>
                <w:szCs w:val="20"/>
                <w:color w:val="auto"/>
              </w:rPr>
            </w:pPr>
            <w:r>
              <w:rPr>
                <w:rFonts w:ascii="Arial" w:cs="Arial" w:eastAsia="Arial" w:hAnsi="Arial"/>
                <w:sz w:val="14"/>
                <w:szCs w:val="14"/>
                <w:color w:val="auto"/>
              </w:rPr>
              <w:t>Roadside services revenues</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12,976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12,976</w:t>
            </w: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 revenues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15,780</w:t>
            </w:r>
          </w:p>
        </w:tc>
        <w:tc>
          <w:tcPr>
            <w:tcW w:w="0" w:type="dxa"/>
            <w:vAlign w:val="bottom"/>
          </w:tcPr>
          <w:p>
            <w:pPr>
              <w:spacing w:after="0"/>
              <w:rPr>
                <w:sz w:val="1"/>
                <w:szCs w:val="1"/>
                <w:color w:val="auto"/>
              </w:rPr>
            </w:pPr>
          </w:p>
        </w:tc>
      </w:tr>
      <w:tr>
        <w:trPr>
          <w:trHeight w:val="198"/>
        </w:trPr>
        <w:tc>
          <w:tcPr>
            <w:tcW w:w="2980" w:type="dxa"/>
            <w:vAlign w:val="bottom"/>
          </w:tcPr>
          <w:p>
            <w:pPr>
              <w:ind w:left="20"/>
              <w:spacing w:after="0"/>
              <w:rPr>
                <w:sz w:val="20"/>
                <w:szCs w:val="20"/>
                <w:color w:val="auto"/>
              </w:rPr>
            </w:pPr>
            <w:r>
              <w:rPr>
                <w:rFonts w:ascii="Arial" w:cs="Arial" w:eastAsia="Arial" w:hAnsi="Arial"/>
                <w:sz w:val="14"/>
                <w:szCs w:val="14"/>
                <w:color w:val="auto"/>
              </w:rPr>
              <w:t>Gas revenues</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42,631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19,449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17,294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12,976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96,161</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March 31, 2026 and December 31, 2025, we recorded capitalized contract cost of $17.3 million and $18.6 million, of which $4.7 million and $4.9 million are included in Other current assets and $12.6 million and $13.7 million are included in Other assets on the Consolidated Balance Sheets, respectively. Capitalized contract cost is amortized using the straight-line method, over the expected contract term. We recorded $1.2 million of amortization during both the three months ended March 31, 2026 and 2025, which is included in Operating expenses in the Consolidated Statements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EQUITY-BASED COMPENSATION</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 2022,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As of March 31, 2026, the Incentive Plan provides for the issuance of up to 30.0 million shares. We account for equity-based compensation expense in accordance with ASC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and we report equity-based compensation within Operating expenses and General and administrative in the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Director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2026, we issued 984 shares of common stock to a certain director as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Stock Options</w:t>
      </w:r>
    </w:p>
    <w:p>
      <w:pPr>
        <w:spacing w:after="0" w:line="12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In connection with our February 2025 offering of Series B Preferred Stock ("Convertible Preferred Stock") (see Note </w:t>
      </w:r>
      <w:r>
        <w:rPr>
          <w:rFonts w:ascii="Arial" w:cs="Arial" w:eastAsia="Arial" w:hAnsi="Arial"/>
          <w:sz w:val="17"/>
          <w:szCs w:val="17"/>
          <w:color w:val="auto"/>
        </w:rPr>
        <w:t>15</w:t>
      </w:r>
      <w:r>
        <w:rPr>
          <w:rFonts w:ascii="Arial" w:cs="Arial" w:eastAsia="Arial" w:hAnsi="Arial"/>
          <w:sz w:val="16"/>
          <w:szCs w:val="16"/>
          <w:color w:val="auto"/>
        </w:rPr>
        <w:t>), the Company issued to the Manager, options to purchase 2.9 million shares of common stock at a per share exercise price of $5.61, which had a grant date fair value of $7.4 million.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Subsidiary Stock-Based Compensation</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March 31, 2026, we issued restricted shares of our subsidiary that had a grant date fair value of $0.5 million and generally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expense related to our subsidiary stock-based compensation arrangements recognized in the Consolidated Statements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4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Expense Recognized During the</w:t>
            </w:r>
          </w:p>
        </w:tc>
        <w:tc>
          <w:tcPr>
            <w:tcW w:w="160" w:type="dxa"/>
            <w:vAlign w:val="bottom"/>
          </w:tcPr>
          <w:p>
            <w:pPr>
              <w:spacing w:after="0"/>
              <w:rPr>
                <w:sz w:val="14"/>
                <w:szCs w:val="14"/>
                <w:color w:val="auto"/>
              </w:rPr>
            </w:pPr>
          </w:p>
        </w:tc>
        <w:tc>
          <w:tcPr>
            <w:tcW w:w="2140" w:type="dxa"/>
            <w:vAlign w:val="bottom"/>
            <w:vMerge w:val="restart"/>
          </w:tcPr>
          <w:p>
            <w:pPr>
              <w:jc w:val="center"/>
              <w:ind w:right="109"/>
              <w:spacing w:after="0"/>
              <w:rPr>
                <w:sz w:val="20"/>
                <w:szCs w:val="20"/>
                <w:color w:val="auto"/>
              </w:rPr>
            </w:pPr>
            <w:r>
              <w:rPr>
                <w:rFonts w:ascii="Arial" w:cs="Arial" w:eastAsia="Arial" w:hAnsi="Arial"/>
                <w:sz w:val="14"/>
                <w:szCs w:val="14"/>
                <w:b w:val="1"/>
                <w:bCs w:val="1"/>
                <w:color w:val="auto"/>
              </w:rPr>
              <w:t>Remaining Expense To Be</w:t>
            </w:r>
          </w:p>
        </w:tc>
        <w:tc>
          <w:tcPr>
            <w:tcW w:w="10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jc w:val="center"/>
              <w:ind w:right="200"/>
              <w:spacing w:after="0" w:line="145" w:lineRule="exact"/>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40" w:type="dxa"/>
            <w:vAlign w:val="bottom"/>
            <w:vMerge w:val="restart"/>
          </w:tcPr>
          <w:p>
            <w:pPr>
              <w:jc w:val="center"/>
              <w:ind w:right="89"/>
              <w:spacing w:after="0" w:line="113" w:lineRule="exact"/>
              <w:rPr>
                <w:sz w:val="20"/>
                <w:szCs w:val="20"/>
                <w:color w:val="auto"/>
              </w:rPr>
            </w:pPr>
            <w:r>
              <w:rPr>
                <w:rFonts w:ascii="Arial" w:cs="Arial" w:eastAsia="Arial" w:hAnsi="Arial"/>
                <w:sz w:val="13"/>
                <w:szCs w:val="13"/>
                <w:b w:val="1"/>
                <w:bCs w:val="1"/>
                <w:color w:val="auto"/>
              </w:rPr>
              <w:t>Recognized, If All Vesting</w:t>
            </w:r>
          </w:p>
        </w:tc>
        <w:tc>
          <w:tcPr>
            <w:tcW w:w="100" w:type="dxa"/>
            <w:vAlign w:val="bottom"/>
          </w:tcPr>
          <w:p>
            <w:pPr>
              <w:spacing w:after="0"/>
              <w:rPr>
                <w:sz w:val="3"/>
                <w:szCs w:val="3"/>
                <w:color w:val="auto"/>
              </w:rPr>
            </w:pPr>
          </w:p>
        </w:tc>
        <w:tc>
          <w:tcPr>
            <w:tcW w:w="202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rPr>
              <w:t>Remaining Contractual Term</w:t>
            </w:r>
          </w:p>
        </w:tc>
        <w:tc>
          <w:tcPr>
            <w:tcW w:w="0" w:type="dxa"/>
            <w:vAlign w:val="bottom"/>
          </w:tcPr>
          <w:p>
            <w:pPr>
              <w:spacing w:after="0"/>
              <w:rPr>
                <w:sz w:val="1"/>
                <w:szCs w:val="1"/>
                <w:color w:val="auto"/>
              </w:rPr>
            </w:pPr>
          </w:p>
        </w:tc>
      </w:tr>
      <w:tr>
        <w:trPr>
          <w:trHeight w:val="52"/>
        </w:trPr>
        <w:tc>
          <w:tcPr>
            <w:tcW w:w="4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3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Conditions Are Met</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5,260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0.8</w:t>
            </w:r>
          </w:p>
        </w:tc>
        <w:tc>
          <w:tcPr>
            <w:tcW w:w="0" w:type="dxa"/>
            <w:vAlign w:val="bottom"/>
          </w:tcPr>
          <w:p>
            <w:pPr>
              <w:spacing w:after="0"/>
              <w:rPr>
                <w:sz w:val="1"/>
                <w:szCs w:val="1"/>
                <w:color w:val="auto"/>
              </w:rPr>
            </w:pPr>
          </w:p>
        </w:tc>
      </w:tr>
      <w:tr>
        <w:trPr>
          <w:trHeight w:val="202"/>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2,226</w:t>
            </w:r>
          </w:p>
        </w:tc>
        <w:tc>
          <w:tcPr>
            <w:tcW w:w="2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22"/>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7,486</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Stock Units to Subsidiary Employees</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During the three months ended March 31, 2026, we issued restricted stock units (“RSUs”) of our common stock that had a grant date fair value of $16.1 million, based on the closing price of FIP’s stock on the grant date, and vest over three years. These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awards were made to employees of certain of our subsidiaries, are subject to continued employment, and the compensation expense is recognized ratably over the vesting periods.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expense related to our RSUs to subsidiary employees recognized in the Consolidated Statements of Operations: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4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Expense Recognized During the</w:t>
            </w:r>
          </w:p>
        </w:tc>
        <w:tc>
          <w:tcPr>
            <w:tcW w:w="160" w:type="dxa"/>
            <w:vAlign w:val="bottom"/>
          </w:tcPr>
          <w:p>
            <w:pPr>
              <w:spacing w:after="0"/>
              <w:rPr>
                <w:sz w:val="14"/>
                <w:szCs w:val="14"/>
                <w:color w:val="auto"/>
              </w:rPr>
            </w:pPr>
          </w:p>
        </w:tc>
        <w:tc>
          <w:tcPr>
            <w:tcW w:w="2140" w:type="dxa"/>
            <w:vAlign w:val="bottom"/>
            <w:vMerge w:val="restart"/>
          </w:tcPr>
          <w:p>
            <w:pPr>
              <w:jc w:val="center"/>
              <w:ind w:right="110"/>
              <w:spacing w:after="0"/>
              <w:rPr>
                <w:sz w:val="20"/>
                <w:szCs w:val="20"/>
                <w:color w:val="auto"/>
              </w:rPr>
            </w:pPr>
            <w:r>
              <w:rPr>
                <w:rFonts w:ascii="Arial" w:cs="Arial" w:eastAsia="Arial" w:hAnsi="Arial"/>
                <w:sz w:val="14"/>
                <w:szCs w:val="14"/>
                <w:b w:val="1"/>
                <w:bCs w:val="1"/>
                <w:color w:val="auto"/>
              </w:rPr>
              <w:t>Remaining Expense To Be</w:t>
            </w:r>
          </w:p>
        </w:tc>
        <w:tc>
          <w:tcPr>
            <w:tcW w:w="10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spacing w:after="0" w:line="145" w:lineRule="exact"/>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40" w:type="dxa"/>
            <w:vAlign w:val="bottom"/>
            <w:vMerge w:val="restart"/>
          </w:tcPr>
          <w:p>
            <w:pPr>
              <w:jc w:val="center"/>
              <w:ind w:right="90"/>
              <w:spacing w:after="0" w:line="108" w:lineRule="exact"/>
              <w:rPr>
                <w:sz w:val="20"/>
                <w:szCs w:val="20"/>
                <w:color w:val="auto"/>
              </w:rPr>
            </w:pPr>
            <w:r>
              <w:rPr>
                <w:rFonts w:ascii="Arial" w:cs="Arial" w:eastAsia="Arial" w:hAnsi="Arial"/>
                <w:sz w:val="12"/>
                <w:szCs w:val="12"/>
                <w:b w:val="1"/>
                <w:bCs w:val="1"/>
                <w:color w:val="auto"/>
              </w:rPr>
              <w:t>Recognized, If All Vesting</w:t>
            </w:r>
          </w:p>
        </w:tc>
        <w:tc>
          <w:tcPr>
            <w:tcW w:w="100" w:type="dxa"/>
            <w:vAlign w:val="bottom"/>
          </w:tcPr>
          <w:p>
            <w:pPr>
              <w:spacing w:after="0"/>
              <w:rPr>
                <w:sz w:val="3"/>
                <w:szCs w:val="3"/>
                <w:color w:val="auto"/>
              </w:rPr>
            </w:pPr>
          </w:p>
        </w:tc>
        <w:tc>
          <w:tcPr>
            <w:tcW w:w="202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Remaining Contractual Term</w:t>
            </w:r>
          </w:p>
        </w:tc>
        <w:tc>
          <w:tcPr>
            <w:tcW w:w="0" w:type="dxa"/>
            <w:vAlign w:val="bottom"/>
          </w:tcPr>
          <w:p>
            <w:pPr>
              <w:spacing w:after="0"/>
              <w:rPr>
                <w:sz w:val="1"/>
                <w:szCs w:val="1"/>
                <w:color w:val="auto"/>
              </w:rPr>
            </w:pPr>
          </w:p>
        </w:tc>
      </w:tr>
      <w:tr>
        <w:trPr>
          <w:trHeight w:val="48"/>
        </w:trPr>
        <w:tc>
          <w:tcPr>
            <w:tcW w:w="4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3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rPr>
              <w:t>Conditions Are Met</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95"/>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8,844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7,066</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97"/>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8,844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7,066</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INCOME TAXES</w:t>
      </w:r>
    </w:p>
    <w:p>
      <w:pPr>
        <w:spacing w:after="0" w:line="12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Taxable income or loss generated by us and our corporate subsidiaries is subject to U.S. federal and state corporate income tax in locations where they conduct business.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 valuation allowance has been established against our net U.S. federal and state deferred tax assets, including net operating loss carryforwards. As a result, our income tax provision is primarily related to separate company state taxes, deferred taxes for tax deductible goodwill, and deferred taxes for certain long-lived assets.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effective tax rate differs from the U.S. federal tax rate of 21% primarily due to the tax benefit associated with the current year net loss of certain subsidiaries that has been offset by a corresponding increase in the valuation allowance recorded against deferred tax assets.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and for the three months ended March 31, 2026, we had not established a liability for uncertain tax positions as no such positions existed. In general, our tax returns and the tax returns of our corporate subsidiaries are subject to U.S. federal, state and local income tax examinations by tax authorities. Generally, we are not subject to examination by taxing authorities for tax years prior to 2022.</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4, 2025, the One Big Beautiful Bill Act (“OBBBA”) was enacted in the U.S. The OBBBA includes significant changes to the U.S. federal tax law, such as an elective deduction for domestic research and experimental expenditures, and changes to interest expense limitations under Section 163(j). We have incorporated these amendments into the income tax provision which did not have a material impact on the Company’s effective tax rate.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MANAGEMENT AGREEMENT AND AFFILIATE TRANSACTIONS</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externally managed by the Manager. The Manager is paid annual fees and incentive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On July 31, 2022, in connection with the spin-off, we and the Manager entered into the Management Agreement with an initial term of six years.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Manager is entitled to a management fee, incentive fees (comprised of an Income Incentive Fee and a Capital Gains Incentive Fee described below) and reimbursement of certain expenses. The management fee is determined by taking the average value of total equity (including preferred stock and excluding non-controlling common interests) of the Company determined on a consolidated basis in accordance with U.S. GAAP at the end of the two most recently completed months multiplied by an annual rate of 1.50%, and is payable monthly in arrears in cash.</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Income Incentive Fee is calculated and distributable quarterly in arrears based on the pre-incentive fee net income for the immediately preceding calendar quarter (the “Income Incentive Fee”). For this purpose, pre-incentive fee net income means, with respect to a calendar quarter, net income attributable to stockholders, before series B preferred stock dividend and loss on extinguishment of preferred stock during such quarter calculated in accordance with U.S. GAAP excluding our pro rata share of (1) realized or unrealized gains and losses, and (2) certain non-cash or one-time items, and (3) any other adjustments as may be approved by the independent directors. Pre-incentive allocation net income does not include any Income Incentive Fee or Capital Gains Incentive Fee (described below) paid to the Manager during the relevant quarter.</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Manager is entitled to an Income Incentive Fee with respect to its pre-incentive fee net income in each calendar quarter as follows: (1) no Income Incentive Fee in any calendar quarter in which pre-incentive fee net income, expressed as a rate of return on the average value of the Company’s net equity capital (excluding non-controlling interests) at the end of the two most recently completed calendar quarters, does not exceed 2% for such quarter (8% annualized); (2) 100% of pre-incentive fee net income of the Company with respect to that portion of such pre-incentive fee net income, if any, that equals or exceeds 2% but does not exceed 2.2223% for such quarter; and (3) 10% of pre-incentive fee net income of the Company, if any, that exceeds 2.2223% for portions of such quarter. These calculations will be prorated for any periods of less than three months.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Capital Gains Incentive Fee is calculated and paid in arrears as of the end of each calendar year and is equal to 10% of our pro rata share of cumulative realized gains from the date of the spin-off through the end of the applicable calendar year, net of our pro rata share of cumulative realized or unrealized losses, the cumulative non-cash portion of equity-based compensation expenses and all realized gains upon which prior performance-based Capital Gains Incentive Fee payments were made to the Manager.</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Management fee, Income Incentive Fee, and Capital Gains Incentive Fee that are attributable to the operations of FTAI Infrastructure are recorded in the Management fees and incentive allocation to affiliate on the Consolidated Statements of Operations. These amounts are allocated on the following basis: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i w:val="1"/>
          <w:iCs w:val="1"/>
          <w:color w:val="auto"/>
        </w:rPr>
        <w:t>Management fee</w:t>
      </w:r>
      <w:r>
        <w:rPr>
          <w:rFonts w:ascii="Arial" w:cs="Arial" w:eastAsia="Arial" w:hAnsi="Arial"/>
          <w:sz w:val="16"/>
          <w:szCs w:val="16"/>
          <w:color w:val="auto"/>
        </w:rPr>
        <w:t>—Management fee is allocated to FTAI Infrastructure by applying the calculation methodology described above to the equity of FTAI</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included in these consolidated financial statements.</w:t>
      </w:r>
    </w:p>
    <w:p>
      <w:pPr>
        <w:spacing w:after="0" w:line="3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i w:val="1"/>
          <w:iCs w:val="1"/>
          <w:color w:val="auto"/>
        </w:rPr>
        <w:t>Income Incentive Allocation and Capital Gains Incentive Allocation</w:t>
      </w:r>
      <w:r>
        <w:rPr>
          <w:rFonts w:ascii="Arial" w:cs="Arial" w:eastAsia="Arial" w:hAnsi="Arial"/>
          <w:sz w:val="16"/>
          <w:szCs w:val="16"/>
          <w:color w:val="auto"/>
        </w:rPr>
        <w:t>—The Income Incentive Fee and Capital Gains Incentive Fee are allocated to FTAI</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by applying the allocation calculation methodology described above to FTAI Infrastructure’s financial results in each respective period.</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 included in these consolidated financial statements: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4,092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w:t>
            </w:r>
          </w:p>
        </w:tc>
      </w:tr>
      <w:tr>
        <w:trPr>
          <w:trHeight w:val="202"/>
        </w:trPr>
        <w:tc>
          <w:tcPr>
            <w:tcW w:w="8100" w:type="dxa"/>
            <w:vAlign w:val="bottom"/>
          </w:tcPr>
          <w:p>
            <w:pPr>
              <w:ind w:left="20"/>
              <w:spacing w:after="0"/>
              <w:rPr>
                <w:sz w:val="20"/>
                <w:szCs w:val="20"/>
                <w:color w:val="auto"/>
              </w:rPr>
            </w:pPr>
            <w:r>
              <w:rPr>
                <w:rFonts w:ascii="Arial" w:cs="Arial" w:eastAsia="Arial" w:hAnsi="Arial"/>
                <w:sz w:val="14"/>
                <w:szCs w:val="14"/>
                <w:color w:val="auto"/>
              </w:rPr>
              <w:t>Income incentive fee</w:t>
            </w:r>
          </w:p>
        </w:tc>
        <w:tc>
          <w:tcPr>
            <w:tcW w:w="10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fee</w:t>
            </w:r>
          </w:p>
        </w:tc>
        <w:tc>
          <w:tcPr>
            <w:tcW w:w="10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4,092</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2,542</w:t>
            </w:r>
          </w:p>
        </w:tc>
      </w:tr>
      <w:tr>
        <w:trPr>
          <w:trHeight w:val="21"/>
        </w:trPr>
        <w:tc>
          <w:tcPr>
            <w:tcW w:w="8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its assets, legal and auditing fees and expenses, the compensation and expenses of the Company’s independent directors, the costs associated with the establishment and maintenance of any credit facilities and other indebtedness (including commitment fees, legal fees, closing costs, etc.), expenses associated with other securities offerings, costs and expenses incurred in contracting with third parties (including affiliates of the Manager), the costs of printing and mailing proxies and reports to the stockholders, costs incurred by the Manager or its affiliates for travel on our behalf, costs associated with any computer software or hardware that is used by the Company, costs to obtain liability insurance to indemnify the Company’s directors and officers and the compensation and expenses of the transfer agent.</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01"/>
        </w:trPr>
        <w:tc>
          <w:tcPr>
            <w:tcW w:w="81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1,481</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1,692</w:t>
            </w:r>
          </w:p>
        </w:tc>
      </w:tr>
      <w:tr>
        <w:trPr>
          <w:trHeight w:val="203"/>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762</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2,243</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2,355</w:t>
            </w:r>
          </w:p>
        </w:tc>
      </w:tr>
      <w:tr>
        <w:trPr>
          <w:trHeight w:val="21"/>
        </w:trPr>
        <w:tc>
          <w:tcPr>
            <w:tcW w:w="8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Pursuant to the terms of the Management Agreement, the termination fee is equal to the amount of the management fee during the 12 months immediately preceding such termination and an amount equal to the Income Incentive Fee and the Capital Gains Incentive Fee that would be paid to the Manager if the Company’s assets were sold for cash at their then current fair market value (as determined by an appraisal, taking into account, among other things, the expected future value of the underlying investments).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Upon the successful completion of an offering of our common stock or other equity securities (including securities issued as consideration in an acquisition), we grant the Manager options to purchase common stock in an amount equal to 10% of the number of common stock being sold in the offering (or if the issuance relates to equity securities other than our common stock, options to purchase an amount of common stock equal to 10% of the gross capital raised in the equity issuance divided by the fair market value of our common stock as of the date of issuance), with an exercise price equal to the offering price per share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paid by the public or other ultimate purchaser or attributed to such securities in connection with an acquisition (or the fair market value of our common stock as of the date of the equity issuance if it relates to equity securities other than our common stock). Any ultimate purchaser of common stock for which such options are granted may be an affiliate of Fortress. In connection with the spin-off, we issued 10.9 million options to purchase common stock to the Manager, with a term of 10 years and strike price of $2.76 as compensation for services rendered in connection with the Redeemable Preferred Stock raise, as discussed in Note 15. On August 12, 2024, 8.7 million Manager options were exercised. In February 2025, we issued 2.9 million options to purchase common stock to the Manager, with a term of 10 years and a strike price of $5.61 as compensation for services rendered in connection with the offering of Series B Preferred Stock as discussed in Note 15.</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Pr>
          <w:p>
            <w:pPr>
              <w:spacing w:after="0"/>
              <w:rPr>
                <w:sz w:val="17"/>
                <w:szCs w:val="17"/>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12,172</w:t>
            </w:r>
          </w:p>
        </w:tc>
      </w:tr>
      <w:tr>
        <w:trPr>
          <w:trHeight w:val="200"/>
        </w:trPr>
        <w:tc>
          <w:tcPr>
            <w:tcW w:w="772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22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b w:val="1"/>
                <w:bCs w:val="1"/>
                <w:color w:val="auto"/>
              </w:rPr>
              <w:t>4,048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9,181</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and December 31, 2025, there were no receivables from the Manager.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Affiliate Transactions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of March 31, 2026 and December 31, 2025, certain employees of the Manager and their related parties collectively own an approximately 20% interest in Jefferson Terminal which has been accounted for as a component of non-controlling interest in consolidated subsidiaries in the accompanying consolidated financial statements. The carrying amount of this non-controlling interest at March 31, 2026 and December 31, 2025 was $(176.4) million and $(162.8) million, respectively. In April 2024, we made a pro-rata distribution of $15.0 million to the non-controlling interest holders of our Jefferson Terminal segment.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58"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23495</wp:posOffset>
            </wp:positionV>
            <wp:extent cx="19970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5" w:lineRule="exact"/>
        <w:rPr>
          <w:sz w:val="20"/>
          <w:szCs w:val="20"/>
          <w:color w:val="auto"/>
        </w:rPr>
      </w:pPr>
    </w:p>
    <w:p>
      <w:pPr>
        <w:ind w:left="8700"/>
        <w:spacing w:after="0"/>
        <w:tabs>
          <w:tab w:leader="none" w:pos="103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100" w:val="left"/>
          <w:tab w:leader="none" w:pos="9040" w:val="left"/>
          <w:tab w:leader="none" w:pos="9720" w:val="left"/>
          <w:tab w:leader="none" w:pos="10660" w:val="left"/>
        </w:tabs>
        <w:rPr>
          <w:sz w:val="20"/>
          <w:szCs w:val="20"/>
          <w:color w:val="auto"/>
        </w:rPr>
      </w:pPr>
      <w:r>
        <w:rPr>
          <w:rFonts w:ascii="Arial" w:cs="Arial" w:eastAsia="Arial" w:hAnsi="Arial"/>
          <w:sz w:val="14"/>
          <w:szCs w:val="14"/>
          <w:color w:val="auto"/>
        </w:rPr>
        <w:t>Non-controlling interest share of net loss</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(13,679)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(11,084)</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In October 2022, we entered into a shareholder loan agreement with Long Ridge. Refer to Notes 2 and 5 for additional information.</w:t>
      </w:r>
    </w:p>
    <w:p>
      <w:pPr>
        <w:spacing w:after="0" w:line="12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subleases a portion of office space from an entity controlled by certain employees of the Manager since February 2023. For the three months ended March 31, 2026 and 2025, the Company incurred approximately $0.6 million and $0.1 million of rent and office related expenses, respectively.</w:t>
      </w:r>
    </w:p>
    <w:p>
      <w:pPr>
        <w:spacing w:after="0" w:line="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14, 2024, certain members of Fortress management and affiliates of Mubadala Investment Company, through its wholly owned asset management subsidiary, Mubadala Capital (“Mubadala”), completed their acquisition of 100% of the equity of Fortress. Fortress continues to operate as an independent investment manager under the Fortress brand, with autonomy over investment processes and decision making, personnel and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SEGMENT INFORMATION</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infrastructure assets. We have five reportable segments which operate in infrastructure businesses across several market sectors, all in North America. Our reportable segments are (i) Railroad, (ii) Jefferson Terminal, (iii) Repauno, (iv) Power and Gas and (v) Sustainability and Energy Transition.</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Adjusted EBITDA is defined as net income (loss) attributable to stockholders, before series B preferred stock dividend and loss on extinguishment of preferred stock, adjusted (a) to exclude the impact of provision for (benefit from) income taxes, equity-based compensation expense, acquisition and transaction expenses, gains (losses) on the modification or extinguishment of debt and capital lease obligations, changes in fair value of non-hedge derivative instruments, asset impairment charges, incentive allocations, depreciation and amortization expense, interest expense, interest and other costs on pension and OPEB liabilities, dividends and accretion of redeemable preferred stock, and other non-recurring items, (b) to include the impact of our pro-rata share of Adjusted EBITDA from unconsolidated entities, and (c) to exclude the impact of equity in earnings (losses) of unconsolidated entities and the non-controlling share of Adjusted EBITDA.</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believe that net income (loss) attributable to stockholders, before series B preferred stock dividend and loss on extinguishment of preferred stock, as defined by U.S. GAAP, is the most appropriate earnings measure with which to reconcile Adjusted EBITDA. Adjusted EBITDA should not be considered as an alternative to net income (loss) attributable to stockholders, before series B preferred stock dividend and loss on extinguishment of preferred stock as determined in accordance with U.S. GAAP.</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 as provided to and evaluated by the CODM: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March 31,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Three Months Ended March 31, 2026</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Ports and Terminals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Power and</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rPr>
              <w:t>Sustainability</w:t>
            </w:r>
          </w:p>
        </w:tc>
        <w:tc>
          <w:tcPr>
            <w:tcW w:w="12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Repauno</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and Energy</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Gas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Transition</w:t>
            </w: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85,008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27,318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1,208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62,006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12,824</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188,364</w:t>
            </w:r>
          </w:p>
        </w:tc>
        <w:tc>
          <w:tcPr>
            <w:tcW w:w="0" w:type="dxa"/>
            <w:vAlign w:val="bottom"/>
          </w:tcPr>
          <w:p>
            <w:pPr>
              <w:spacing w:after="0"/>
              <w:rPr>
                <w:sz w:val="1"/>
                <w:szCs w:val="1"/>
                <w:color w:val="auto"/>
              </w:rPr>
            </w:pPr>
          </w:p>
        </w:tc>
      </w:tr>
      <w:tr>
        <w:trPr>
          <w:trHeight w:val="271"/>
        </w:trPr>
        <w:tc>
          <w:tcPr>
            <w:tcW w:w="3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46,764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27,775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120,394</w:t>
            </w:r>
          </w:p>
        </w:tc>
        <w:tc>
          <w:tcPr>
            <w:tcW w:w="0" w:type="dxa"/>
            <w:vAlign w:val="bottom"/>
          </w:tcPr>
          <w:p>
            <w:pPr>
              <w:spacing w:after="0"/>
              <w:rPr>
                <w:sz w:val="1"/>
                <w:szCs w:val="1"/>
                <w:color w:val="auto"/>
              </w:rPr>
            </w:pPr>
          </w:p>
        </w:tc>
      </w:tr>
      <w:tr>
        <w:trPr>
          <w:trHeight w:val="201"/>
        </w:trPr>
        <w:tc>
          <w:tcPr>
            <w:tcW w:w="35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3,554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3,554</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6,820</w:t>
            </w:r>
          </w:p>
        </w:tc>
        <w:tc>
          <w:tcPr>
            <w:tcW w:w="0" w:type="dxa"/>
            <w:vAlign w:val="bottom"/>
          </w:tcPr>
          <w:p>
            <w:pPr>
              <w:spacing w:after="0"/>
              <w:rPr>
                <w:sz w:val="1"/>
                <w:szCs w:val="1"/>
                <w:color w:val="auto"/>
              </w:rPr>
            </w:pPr>
          </w:p>
        </w:tc>
      </w:tr>
      <w:tr>
        <w:trPr>
          <w:trHeight w:val="201"/>
        </w:trPr>
        <w:tc>
          <w:tcPr>
            <w:tcW w:w="35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4,092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4,092</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19,487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11,987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16,376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50,691</w:t>
            </w: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Total expenses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67,859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37,800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8,889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44,952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26,051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185,551</w:t>
            </w:r>
          </w:p>
        </w:tc>
        <w:tc>
          <w:tcPr>
            <w:tcW w:w="0" w:type="dxa"/>
            <w:vAlign w:val="bottom"/>
          </w:tcPr>
          <w:p>
            <w:pPr>
              <w:spacing w:after="0"/>
              <w:rPr>
                <w:sz w:val="1"/>
                <w:szCs w:val="1"/>
                <w:color w:val="auto"/>
              </w:rPr>
            </w:pPr>
          </w:p>
        </w:tc>
      </w:tr>
      <w:tr>
        <w:trPr>
          <w:trHeight w:val="251"/>
        </w:trPr>
        <w:tc>
          <w:tcPr>
            <w:tcW w:w="35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(566)</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(39,485)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(45,914)</w:t>
            </w: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(16,235)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(23,666)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(39,136)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(82,487)</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2,984</w:t>
            </w:r>
          </w:p>
        </w:tc>
        <w:tc>
          <w:tcPr>
            <w:tcW w:w="0" w:type="dxa"/>
            <w:vAlign w:val="bottom"/>
          </w:tcPr>
          <w:p>
            <w:pPr>
              <w:spacing w:after="0"/>
              <w:rPr>
                <w:sz w:val="1"/>
                <w:szCs w:val="1"/>
                <w:color w:val="auto"/>
              </w:rPr>
            </w:pPr>
          </w:p>
        </w:tc>
      </w:tr>
      <w:tr>
        <w:trPr>
          <w:trHeight w:val="195"/>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(21,857)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(22,271)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(79,711)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(126,501)</w:t>
            </w: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(92,938)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(123,688)</w:t>
            </w: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3,523</w:t>
            </w:r>
          </w:p>
        </w:tc>
        <w:tc>
          <w:tcPr>
            <w:tcW w:w="0" w:type="dxa"/>
            <w:vAlign w:val="bottom"/>
          </w:tcPr>
          <w:p>
            <w:pPr>
              <w:spacing w:after="0"/>
              <w:rPr>
                <w:sz w:val="1"/>
                <w:szCs w:val="1"/>
                <w:color w:val="auto"/>
              </w:rPr>
            </w:pPr>
          </w:p>
        </w:tc>
      </w:tr>
      <w:tr>
        <w:trPr>
          <w:trHeight w:val="197"/>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(32,551)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(8,556)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(5,217)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(92,951)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(127,211)</w:t>
            </w:r>
          </w:p>
        </w:tc>
        <w:tc>
          <w:tcPr>
            <w:tcW w:w="0" w:type="dxa"/>
            <w:vAlign w:val="bottom"/>
          </w:tcPr>
          <w:p>
            <w:pPr>
              <w:spacing w:after="0"/>
              <w:rPr>
                <w:sz w:val="1"/>
                <w:szCs w:val="1"/>
                <w:color w:val="auto"/>
              </w:rPr>
            </w:pPr>
          </w:p>
        </w:tc>
      </w:tr>
      <w:tr>
        <w:trPr>
          <w:trHeight w:val="128"/>
        </w:trPr>
        <w:tc>
          <w:tcPr>
            <w:tcW w:w="3500" w:type="dxa"/>
            <w:vAlign w:val="bottom"/>
          </w:tcPr>
          <w:p>
            <w:pPr>
              <w:ind w:left="20"/>
              <w:spacing w:after="0" w:line="129" w:lineRule="exact"/>
              <w:rPr>
                <w:sz w:val="20"/>
                <w:szCs w:val="20"/>
                <w:color w:val="auto"/>
              </w:rPr>
            </w:pPr>
            <w:r>
              <w:rPr>
                <w:rFonts w:ascii="Arial" w:cs="Arial" w:eastAsia="Arial" w:hAnsi="Arial"/>
                <w:sz w:val="14"/>
                <w:szCs w:val="14"/>
                <w:color w:val="auto"/>
              </w:rPr>
              <w:t>Less: Net (loss) income attributable to non-controlling</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500" w:type="dxa"/>
            <w:vAlign w:val="bottom"/>
          </w:tcPr>
          <w:p>
            <w:pPr>
              <w:ind w:left="20"/>
              <w:spacing w:after="0" w:line="139" w:lineRule="exact"/>
              <w:rPr>
                <w:sz w:val="20"/>
                <w:szCs w:val="20"/>
                <w:color w:val="auto"/>
              </w:rPr>
            </w:pPr>
            <w:r>
              <w:rPr>
                <w:rFonts w:ascii="Arial" w:cs="Arial" w:eastAsia="Arial" w:hAnsi="Arial"/>
                <w:sz w:val="14"/>
                <w:szCs w:val="14"/>
                <w:color w:val="auto"/>
              </w:rPr>
              <w:t>interests in consolidated subsidiaries - common</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(13,679)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(14,260)</w:t>
            </w:r>
          </w:p>
        </w:tc>
        <w:tc>
          <w:tcPr>
            <w:tcW w:w="0" w:type="dxa"/>
            <w:vAlign w:val="bottom"/>
          </w:tcPr>
          <w:p>
            <w:pPr>
              <w:spacing w:after="0"/>
              <w:rPr>
                <w:sz w:val="1"/>
                <w:szCs w:val="1"/>
                <w:color w:val="auto"/>
              </w:rPr>
            </w:pPr>
          </w:p>
        </w:tc>
      </w:tr>
      <w:tr>
        <w:trPr>
          <w:trHeight w:val="197"/>
        </w:trPr>
        <w:tc>
          <w:tcPr>
            <w:tcW w:w="350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Less: Preferred dividends and accretion on</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37,221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37,221</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(loss) income attributable to stockholders,</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50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before series B preferred stock dividend and loss</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(25,214)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(18,872)</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(8,165)</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(5,171)</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(92,969)</w:t>
            </w:r>
          </w:p>
        </w:tc>
        <w:tc>
          <w:tcPr>
            <w:tcW w:w="12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(150,172)</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on extinguishment of preferred stock</w:t>
            </w:r>
          </w:p>
        </w:tc>
        <w:tc>
          <w:tcPr>
            <w:tcW w:w="1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sets forth a reconciliation of Adjusted EBITDA to net income (loss) attributable to stockholders, before series B preferred stock dividend and loss on extinguishment of preferred stock: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Three Months Ended March 31, 2026</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Ports and Terminals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Repauno</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rPr>
              <w:t>Power and</w:t>
            </w:r>
          </w:p>
        </w:tc>
        <w:tc>
          <w:tcPr>
            <w:tcW w:w="1380" w:type="dxa"/>
            <w:vAlign w:val="bottom"/>
            <w:gridSpan w:val="3"/>
          </w:tcPr>
          <w:p>
            <w:pPr>
              <w:ind w:left="20"/>
              <w:spacing w:after="0" w:line="144" w:lineRule="exact"/>
              <w:rPr>
                <w:sz w:val="20"/>
                <w:szCs w:val="20"/>
                <w:color w:val="auto"/>
              </w:rPr>
            </w:pPr>
            <w:r>
              <w:rPr>
                <w:rFonts w:ascii="Arial" w:cs="Arial" w:eastAsia="Arial" w:hAnsi="Arial"/>
                <w:sz w:val="14"/>
                <w:szCs w:val="14"/>
                <w:b w:val="1"/>
                <w:bCs w:val="1"/>
                <w:color w:val="auto"/>
              </w:rPr>
              <w:t>Sustainability and</w:t>
            </w:r>
          </w:p>
        </w:tc>
        <w:tc>
          <w:tcPr>
            <w:tcW w:w="120" w:type="dxa"/>
            <w:vAlign w:val="bottom"/>
          </w:tcPr>
          <w:p>
            <w:pPr>
              <w:spacing w:after="0"/>
              <w:rPr>
                <w:sz w:val="12"/>
                <w:szCs w:val="12"/>
                <w:color w:val="auto"/>
              </w:rPr>
            </w:pPr>
          </w:p>
        </w:tc>
        <w:tc>
          <w:tcPr>
            <w:tcW w:w="98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Gas</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Energy Transition</w:t>
            </w: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40,233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14,437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26,411</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(8,387)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70,592</w:t>
            </w:r>
          </w:p>
        </w:tc>
        <w:tc>
          <w:tcPr>
            <w:tcW w:w="0" w:type="dxa"/>
            <w:vAlign w:val="bottom"/>
          </w:tcPr>
          <w:p>
            <w:pPr>
              <w:spacing w:after="0"/>
              <w:rPr>
                <w:sz w:val="1"/>
                <w:szCs w:val="1"/>
                <w:color w:val="auto"/>
              </w:rPr>
            </w:pPr>
          </w:p>
        </w:tc>
      </w:tr>
      <w:tr>
        <w:trPr>
          <w:trHeight w:val="195"/>
        </w:trPr>
        <w:tc>
          <w:tcPr>
            <w:tcW w:w="344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282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260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10,906</w:t>
            </w: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0" w:type="dxa"/>
            <w:vAlign w:val="bottom"/>
          </w:tcPr>
          <w:p>
            <w:pPr>
              <w:spacing w:after="0"/>
              <w:rPr>
                <w:sz w:val="1"/>
                <w:szCs w:val="1"/>
                <w:color w:val="auto"/>
              </w:rPr>
            </w:pPr>
          </w:p>
        </w:tc>
      </w:tr>
      <w:tr>
        <w:trPr>
          <w:trHeight w:val="148"/>
        </w:trPr>
        <w:tc>
          <w:tcPr>
            <w:tcW w:w="3440" w:type="dxa"/>
            <w:vAlign w:val="bottom"/>
          </w:tcPr>
          <w:p>
            <w:pPr>
              <w:ind w:left="20"/>
              <w:spacing w:after="0" w:line="149" w:lineRule="exact"/>
              <w:rPr>
                <w:sz w:val="20"/>
                <w:szCs w:val="20"/>
                <w:color w:val="auto"/>
              </w:rPr>
            </w:pPr>
            <w:r>
              <w:rPr>
                <w:rFonts w:ascii="Arial" w:cs="Arial" w:eastAsia="Arial" w:hAnsi="Arial"/>
                <w:sz w:val="14"/>
                <w:szCs w:val="14"/>
                <w:color w:val="auto"/>
              </w:rPr>
              <w:t>Less: Interest and other costs on pension and OPEB</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2"/>
                <w:szCs w:val="12"/>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Less: Dividends and accretion of redeemable</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(37,221)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(37,221)</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20"/>
              <w:spacing w:after="0" w:line="149" w:lineRule="exact"/>
              <w:rPr>
                <w:sz w:val="20"/>
                <w:szCs w:val="20"/>
                <w:color w:val="auto"/>
              </w:rPr>
            </w:pPr>
            <w:r>
              <w:rPr>
                <w:rFonts w:ascii="Arial" w:cs="Arial" w:eastAsia="Arial" w:hAnsi="Arial"/>
                <w:sz w:val="14"/>
                <w:szCs w:val="14"/>
                <w:color w:val="auto"/>
              </w:rPr>
              <w:t>Less: Pro-rata share of Adjusted EBITDA from</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2"/>
                <w:szCs w:val="12"/>
                <w:color w:val="auto"/>
              </w:rPr>
            </w:pPr>
          </w:p>
        </w:tc>
        <w:tc>
          <w:tcPr>
            <w:tcW w:w="4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518</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(23,666)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(82,487)</w:t>
            </w:r>
          </w:p>
        </w:tc>
        <w:tc>
          <w:tcPr>
            <w:tcW w:w="0" w:type="dxa"/>
            <w:vAlign w:val="bottom"/>
          </w:tcPr>
          <w:p>
            <w:pPr>
              <w:spacing w:after="0"/>
              <w:rPr>
                <w:sz w:val="1"/>
                <w:szCs w:val="1"/>
                <w:color w:val="auto"/>
              </w:rPr>
            </w:pPr>
          </w:p>
        </w:tc>
      </w:tr>
      <w:tr>
        <w:trPr>
          <w:trHeight w:val="201"/>
        </w:trPr>
        <w:tc>
          <w:tcPr>
            <w:tcW w:w="34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(19,487)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(13,220)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(2,583)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(6,140)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(41,688)</w:t>
            </w: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34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0"/>
        </w:trPr>
        <w:tc>
          <w:tcPr>
            <w:tcW w:w="3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Less: Changes in fair value of non-hedge derivative</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348</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(558)</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20"/>
              <w:spacing w:after="0" w:line="149" w:lineRule="exact"/>
              <w:rPr>
                <w:sz w:val="20"/>
                <w:szCs w:val="20"/>
                <w:color w:val="auto"/>
              </w:rPr>
            </w:pPr>
            <w:r>
              <w:rPr>
                <w:rFonts w:ascii="Arial" w:cs="Arial" w:eastAsia="Arial" w:hAnsi="Arial"/>
                <w:sz w:val="14"/>
                <w:szCs w:val="14"/>
                <w:color w:val="auto"/>
              </w:rPr>
              <w:t>Less: Losses on the modification or extinguishment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(6,429)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2"/>
                <w:szCs w:val="12"/>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(39,485)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(45,914)</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(6,820)</w:t>
            </w:r>
          </w:p>
        </w:tc>
        <w:tc>
          <w:tcPr>
            <w:tcW w:w="0" w:type="dxa"/>
            <w:vAlign w:val="bottom"/>
          </w:tcPr>
          <w:p>
            <w:pPr>
              <w:spacing w:after="0"/>
              <w:rPr>
                <w:sz w:val="1"/>
                <w:szCs w:val="1"/>
                <w:color w:val="auto"/>
              </w:rPr>
            </w:pPr>
          </w:p>
        </w:tc>
      </w:tr>
      <w:tr>
        <w:trPr>
          <w:trHeight w:val="201"/>
        </w:trPr>
        <w:tc>
          <w:tcPr>
            <w:tcW w:w="34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(7,253)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(1,592)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(1,583)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(10,978)</w:t>
            </w: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benefit from income taxes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(3,523)</w:t>
            </w:r>
          </w:p>
        </w:tc>
        <w:tc>
          <w:tcPr>
            <w:tcW w:w="0" w:type="dxa"/>
            <w:vAlign w:val="bottom"/>
          </w:tcPr>
          <w:p>
            <w:pPr>
              <w:spacing w:after="0"/>
              <w:rPr>
                <w:sz w:val="1"/>
                <w:szCs w:val="1"/>
                <w:color w:val="auto"/>
              </w:rPr>
            </w:pPr>
          </w:p>
        </w:tc>
      </w:tr>
      <w:tr>
        <w:trPr>
          <w:trHeight w:val="201"/>
        </w:trPr>
        <w:tc>
          <w:tcPr>
            <w:tcW w:w="3440" w:type="dxa"/>
            <w:vAlign w:val="bottom"/>
          </w:tcPr>
          <w:p>
            <w:pPr>
              <w:ind w:left="20"/>
              <w:spacing w:after="0"/>
              <w:rPr>
                <w:sz w:val="20"/>
                <w:szCs w:val="20"/>
                <w:color w:val="auto"/>
              </w:rPr>
            </w:pPr>
            <w:r>
              <w:rPr>
                <w:rFonts w:ascii="Arial" w:cs="Arial" w:eastAsia="Arial" w:hAnsi="Arial"/>
                <w:sz w:val="14"/>
                <w:szCs w:val="14"/>
                <w:color w:val="auto"/>
              </w:rPr>
              <w:t>Less: Other non-recurring items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(2,661)</w:t>
            </w:r>
          </w:p>
        </w:tc>
        <w:tc>
          <w:tcPr>
            <w:tcW w:w="0" w:type="dxa"/>
            <w:vAlign w:val="bottom"/>
          </w:tcPr>
          <w:p>
            <w:pPr>
              <w:spacing w:after="0"/>
              <w:rPr>
                <w:sz w:val="1"/>
                <w:szCs w:val="1"/>
                <w:color w:val="auto"/>
              </w:rPr>
            </w:pPr>
          </w:p>
        </w:tc>
      </w:tr>
      <w:tr>
        <w:trPr>
          <w:trHeight w:val="130"/>
        </w:trPr>
        <w:tc>
          <w:tcPr>
            <w:tcW w:w="344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income attributable to stockholders,</w:t>
            </w: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before series B preferred stock dividend and loss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(25,214)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(18,872)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(8,165)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(5,171)</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(92,969)</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(150,172)</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on extinguishment of preferred stock</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Three Months Ended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Three Months Ended March 31, 2025</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Repauno</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Power and</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Sustainability and</w:t>
            </w:r>
          </w:p>
        </w:tc>
        <w:tc>
          <w:tcPr>
            <w:tcW w:w="12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Gas</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Energy Transition</w:t>
            </w: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42,631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19,449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3,811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17,294</w:t>
            </w:r>
          </w:p>
        </w:tc>
        <w:tc>
          <w:tcPr>
            <w:tcW w:w="10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12,976</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96,161</w:t>
            </w:r>
          </w:p>
        </w:tc>
        <w:tc>
          <w:tcPr>
            <w:tcW w:w="0" w:type="dxa"/>
            <w:vAlign w:val="bottom"/>
          </w:tcPr>
          <w:p>
            <w:pPr>
              <w:spacing w:after="0"/>
              <w:rPr>
                <w:sz w:val="1"/>
                <w:szCs w:val="1"/>
                <w:color w:val="auto"/>
              </w:rPr>
            </w:pPr>
          </w:p>
        </w:tc>
      </w:tr>
      <w:tr>
        <w:trPr>
          <w:trHeight w:val="274"/>
        </w:trPr>
        <w:tc>
          <w:tcPr>
            <w:tcW w:w="3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67,045</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5,113</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6,090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25,012</w:t>
            </w:r>
          </w:p>
        </w:tc>
        <w:tc>
          <w:tcPr>
            <w:tcW w:w="0" w:type="dxa"/>
            <w:vAlign w:val="bottom"/>
          </w:tcPr>
          <w:p>
            <w:pPr>
              <w:spacing w:after="0"/>
              <w:rPr>
                <w:sz w:val="1"/>
                <w:szCs w:val="1"/>
                <w:color w:val="auto"/>
              </w:rPr>
            </w:pPr>
          </w:p>
        </w:tc>
      </w:tr>
      <w:tr>
        <w:trPr>
          <w:trHeight w:val="195"/>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Total expenses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29,333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13,470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103,227</w:t>
            </w:r>
          </w:p>
        </w:tc>
        <w:tc>
          <w:tcPr>
            <w:tcW w:w="0" w:type="dxa"/>
            <w:vAlign w:val="bottom"/>
          </w:tcPr>
          <w:p>
            <w:pPr>
              <w:spacing w:after="0"/>
              <w:rPr>
                <w:sz w:val="1"/>
                <w:szCs w:val="1"/>
                <w:color w:val="auto"/>
              </w:rPr>
            </w:pPr>
          </w:p>
        </w:tc>
      </w:tr>
      <w:tr>
        <w:trPr>
          <w:trHeight w:val="251"/>
        </w:trPr>
        <w:tc>
          <w:tcPr>
            <w:tcW w:w="34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10,588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5,314</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119,952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119,828</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360"/>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(43,112)</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(15,905)</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color w:val="auto"/>
              </w:rPr>
              <w:t>(1,518)</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123,763</w:t>
            </w:r>
          </w:p>
        </w:tc>
        <w:tc>
          <w:tcPr>
            <w:tcW w:w="1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(15,764)</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85,716</w:t>
            </w:r>
          </w:p>
        </w:tc>
        <w:tc>
          <w:tcPr>
            <w:tcW w:w="0" w:type="dxa"/>
            <w:vAlign w:val="bottom"/>
          </w:tcPr>
          <w:p>
            <w:pPr>
              <w:spacing w:after="0"/>
              <w:rPr>
                <w:sz w:val="1"/>
                <w:szCs w:val="1"/>
                <w:color w:val="auto"/>
              </w:rPr>
            </w:pPr>
          </w:p>
        </w:tc>
      </w:tr>
      <w:tr>
        <w:trPr>
          <w:trHeight w:val="197"/>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(7,185)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127,587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78,650</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(42,457)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(41,514)</w:t>
            </w:r>
          </w:p>
        </w:tc>
        <w:tc>
          <w:tcPr>
            <w:tcW w:w="0" w:type="dxa"/>
            <w:vAlign w:val="bottom"/>
          </w:tcPr>
          <w:p>
            <w:pPr>
              <w:spacing w:after="0"/>
              <w:rPr>
                <w:sz w:val="1"/>
                <w:szCs w:val="1"/>
                <w:color w:val="auto"/>
              </w:rPr>
            </w:pPr>
          </w:p>
        </w:tc>
      </w:tr>
      <w:tr>
        <w:trPr>
          <w:trHeight w:val="19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(7,197)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170,044</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(25,312)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120,164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480"/>
        <w:spacing w:after="0" w:line="245" w:lineRule="auto"/>
        <w:rPr>
          <w:sz w:val="20"/>
          <w:szCs w:val="20"/>
          <w:color w:val="auto"/>
        </w:rPr>
      </w:pPr>
      <w:r>
        <w:rPr>
          <w:rFonts w:ascii="Arial" w:cs="Arial" w:eastAsia="Arial" w:hAnsi="Arial"/>
          <w:sz w:val="14"/>
          <w:szCs w:val="14"/>
          <w:color w:val="auto"/>
        </w:rPr>
        <w:t>Less: Net income (loss) attributable to non-controlling interests in consolidated subsidiaries</w:t>
      </w:r>
    </w:p>
    <w:p>
      <w:pPr>
        <w:spacing w:after="0" w:line="1" w:lineRule="exact"/>
        <w:rPr>
          <w:sz w:val="20"/>
          <w:szCs w:val="20"/>
          <w:color w:val="auto"/>
        </w:rPr>
      </w:pPr>
    </w:p>
    <w:p>
      <w:pPr>
        <w:ind w:left="20" w:right="640"/>
        <w:spacing w:after="0" w:line="251" w:lineRule="auto"/>
        <w:rPr>
          <w:sz w:val="20"/>
          <w:szCs w:val="20"/>
          <w:color w:val="auto"/>
        </w:rPr>
      </w:pPr>
      <w:r>
        <w:rPr>
          <w:rFonts w:ascii="Arial" w:cs="Arial" w:eastAsia="Arial" w:hAnsi="Arial"/>
          <w:sz w:val="14"/>
          <w:szCs w:val="14"/>
          <w:color w:val="auto"/>
        </w:rPr>
        <w:t>Less: Dividends and accretion of redeemable preferred stock</w:t>
      </w:r>
    </w:p>
    <w:tbl>
      <w:tblPr>
        <w:tblLayout w:type="fixed"/>
        <w:tblInd w:w="20" w:type="dxa"/>
        <w:tblCellMar>
          <w:top w:w="0" w:type="dxa"/>
          <w:left w:w="0" w:type="dxa"/>
          <w:bottom w:w="0" w:type="dxa"/>
          <w:right w:w="0" w:type="dxa"/>
        </w:tblCellMar>
      </w:tblPr>
      <w:tr>
        <w:trPr>
          <w:trHeight w:val="148"/>
        </w:trPr>
        <w:tc>
          <w:tcPr>
            <w:tcW w:w="3420" w:type="dxa"/>
            <w:vAlign w:val="bottom"/>
          </w:tcPr>
          <w:p>
            <w:pPr>
              <w:spacing w:after="0" w:line="148" w:lineRule="exact"/>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b w:val="1"/>
                <w:bCs w:val="1"/>
                <w:color w:val="auto"/>
              </w:rPr>
              <w:t>before series B preferred stock dividend and loss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20"/>
                <w:szCs w:val="20"/>
                <w:color w:val="auto"/>
              </w:rPr>
            </w:pPr>
            <w:r>
              <w:rPr>
                <w:rFonts w:ascii="Arial" w:cs="Arial" w:eastAsia="Arial" w:hAnsi="Arial"/>
                <w:sz w:val="14"/>
                <w:szCs w:val="14"/>
                <w:b w:val="1"/>
                <w:bCs w:val="1"/>
                <w:color w:val="auto"/>
              </w:rPr>
              <w:t>on extinguishment of preferred stock</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87</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(11,401)</w:t>
            </w:r>
          </w:p>
        </w:tc>
      </w:tr>
      <w:tr>
        <w:trPr>
          <w:trHeight w:val="342"/>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21,841</w:t>
            </w:r>
          </w:p>
        </w:tc>
      </w:tr>
      <w:tr>
        <w:trPr>
          <w:trHeight w:val="439"/>
        </w:trPr>
        <w:tc>
          <w:tcPr>
            <w:tcW w:w="620" w:type="dxa"/>
            <w:vAlign w:val="bottom"/>
          </w:tcPr>
          <w:p>
            <w:pPr>
              <w:jc w:val="right"/>
              <w:ind w:right="108"/>
              <w:spacing w:after="0"/>
              <w:rPr>
                <w:sz w:val="20"/>
                <w:szCs w:val="20"/>
                <w:color w:val="auto"/>
              </w:rPr>
            </w:pPr>
            <w:r>
              <w:rPr>
                <w:rFonts w:ascii="Arial" w:cs="Arial" w:eastAsia="Arial" w:hAnsi="Arial"/>
                <w:sz w:val="14"/>
                <w:szCs w:val="14"/>
                <w:color w:val="auto"/>
                <w:w w:val="97"/>
              </w:rPr>
              <w:t>13,739</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(15,128)</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(6,793)</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170,044</w:t>
            </w:r>
          </w:p>
        </w:tc>
        <w:tc>
          <w:tcPr>
            <w:tcW w:w="100" w:type="dxa"/>
            <w:vAlign w:val="bottom"/>
          </w:tcPr>
          <w:p>
            <w:pPr>
              <w:spacing w:after="0"/>
              <w:rPr>
                <w:sz w:val="24"/>
                <w:szCs w:val="24"/>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(4,985)</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(47,153)</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109,724</w:t>
            </w:r>
          </w:p>
        </w:tc>
      </w:tr>
      <w:tr>
        <w:trPr>
          <w:trHeight w:val="24"/>
        </w:trPr>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-539115</wp:posOffset>
            </wp:positionV>
            <wp:extent cx="7132320" cy="539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360"/>
            <w:col w:w="7340"/>
          </w:cols>
          <w:pgMar w:left="320" w:top="121" w:right="3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following table sets forth a reconciliation of Adjusted EBITDA to net income (loss) attributable to stockholders, before series B preferred stock dividend and loss on extinguishment of preferred stock: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Three Months Ended March 31, 2025</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Repauno</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rPr>
              <w:t>Power and</w:t>
            </w:r>
          </w:p>
        </w:tc>
        <w:tc>
          <w:tcPr>
            <w:tcW w:w="1380" w:type="dxa"/>
            <w:vAlign w:val="bottom"/>
            <w:gridSpan w:val="3"/>
          </w:tcPr>
          <w:p>
            <w:pPr>
              <w:ind w:left="20"/>
              <w:spacing w:after="0" w:line="144" w:lineRule="exact"/>
              <w:rPr>
                <w:sz w:val="20"/>
                <w:szCs w:val="20"/>
                <w:color w:val="auto"/>
              </w:rPr>
            </w:pPr>
            <w:r>
              <w:rPr>
                <w:rFonts w:ascii="Arial" w:cs="Arial" w:eastAsia="Arial" w:hAnsi="Arial"/>
                <w:sz w:val="14"/>
                <w:szCs w:val="14"/>
                <w:b w:val="1"/>
                <w:bCs w:val="1"/>
                <w:color w:val="auto"/>
              </w:rPr>
              <w:t>Sustainability and</w:t>
            </w:r>
          </w:p>
        </w:tc>
        <w:tc>
          <w:tcPr>
            <w:tcW w:w="120" w:type="dxa"/>
            <w:vAlign w:val="bottom"/>
          </w:tcPr>
          <w:p>
            <w:pPr>
              <w:spacing w:after="0"/>
              <w:rPr>
                <w:sz w:val="12"/>
                <w:szCs w:val="12"/>
                <w:color w:val="auto"/>
              </w:rPr>
            </w:pPr>
          </w:p>
        </w:tc>
        <w:tc>
          <w:tcPr>
            <w:tcW w:w="98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Gas</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Energy Transition</w:t>
            </w: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19,924</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7,950</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(1,452)</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138,090</w:t>
            </w:r>
          </w:p>
        </w:tc>
        <w:tc>
          <w:tcPr>
            <w:tcW w:w="1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(7,667)</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155,219</w:t>
            </w:r>
          </w:p>
        </w:tc>
        <w:tc>
          <w:tcPr>
            <w:tcW w:w="0" w:type="dxa"/>
            <w:vAlign w:val="bottom"/>
          </w:tcPr>
          <w:p>
            <w:pPr>
              <w:spacing w:after="0"/>
              <w:rPr>
                <w:sz w:val="1"/>
                <w:szCs w:val="1"/>
                <w:color w:val="auto"/>
              </w:rPr>
            </w:pPr>
          </w:p>
        </w:tc>
      </w:tr>
      <w:tr>
        <w:trPr>
          <w:trHeight w:val="197"/>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7,332</w:t>
            </w:r>
          </w:p>
        </w:tc>
        <w:tc>
          <w:tcPr>
            <w:tcW w:w="0" w:type="dxa"/>
            <w:vAlign w:val="bottom"/>
          </w:tcPr>
          <w:p>
            <w:pPr>
              <w:spacing w:after="0"/>
              <w:rPr>
                <w:sz w:val="1"/>
                <w:szCs w:val="1"/>
                <w:color w:val="auto"/>
              </w:rPr>
            </w:pPr>
          </w:p>
        </w:tc>
      </w:tr>
      <w:tr>
        <w:trPr>
          <w:trHeight w:val="148"/>
        </w:trPr>
        <w:tc>
          <w:tcPr>
            <w:tcW w:w="3440" w:type="dxa"/>
            <w:vAlign w:val="bottom"/>
          </w:tcPr>
          <w:p>
            <w:pPr>
              <w:ind w:left="20"/>
              <w:spacing w:after="0" w:line="149" w:lineRule="exact"/>
              <w:rPr>
                <w:sz w:val="20"/>
                <w:szCs w:val="20"/>
                <w:color w:val="auto"/>
              </w:rPr>
            </w:pPr>
            <w:r>
              <w:rPr>
                <w:rFonts w:ascii="Arial" w:cs="Arial" w:eastAsia="Arial" w:hAnsi="Arial"/>
                <w:sz w:val="14"/>
                <w:szCs w:val="14"/>
                <w:color w:val="auto"/>
              </w:rPr>
              <w:t>Add: Equity in earnings (losses) of unconsolidated</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10,588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(5,324)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5,314</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Less: Interest and other costs on pension and OPEB</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20"/>
              <w:spacing w:after="0" w:line="149" w:lineRule="exact"/>
              <w:rPr>
                <w:sz w:val="20"/>
                <w:szCs w:val="20"/>
                <w:color w:val="auto"/>
              </w:rPr>
            </w:pPr>
            <w:r>
              <w:rPr>
                <w:rFonts w:ascii="Arial" w:cs="Arial" w:eastAsia="Arial" w:hAnsi="Arial"/>
                <w:sz w:val="14"/>
                <w:szCs w:val="14"/>
                <w:color w:val="auto"/>
              </w:rPr>
              <w:t>Less: Dividends and accretion of redeemable</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(21,841)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(21,841)</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preferred stock</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Less: Pro-rata share of Adjusted EBITDA from</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color w:val="auto"/>
              </w:rPr>
              <w:t>Less: Interest expense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(43,112)</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(24,657)</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color w:val="auto"/>
              </w:rPr>
              <w:t>Less: Incentive allocations</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40" w:type="dxa"/>
            <w:vAlign w:val="bottom"/>
          </w:tcPr>
          <w:p>
            <w:pPr>
              <w:ind w:left="20"/>
              <w:spacing w:after="0" w:line="149" w:lineRule="exact"/>
              <w:rPr>
                <w:sz w:val="20"/>
                <w:szCs w:val="20"/>
                <w:color w:val="auto"/>
              </w:rPr>
            </w:pPr>
            <w:r>
              <w:rPr>
                <w:rFonts w:ascii="Arial" w:cs="Arial" w:eastAsia="Arial" w:hAnsi="Arial"/>
                <w:sz w:val="14"/>
                <w:szCs w:val="14"/>
                <w:color w:val="auto"/>
              </w:rPr>
              <w:t>Less: Changes in fair value of non-hedge derivative</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Less: Losses on the modification or extinguishment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debt and capital lease obligations</w:t>
            </w: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 expense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color w:val="auto"/>
              </w:rPr>
              <w:t>Less: (Provision for) benefit from income taxes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42,457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41,514</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Other non-recurring items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28"/>
        </w:trPr>
        <w:tc>
          <w:tcPr>
            <w:tcW w:w="34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 stockholders,</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4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before series B preferred stock dividend and loss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13,739</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(15,128)</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(6,793)</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170,044</w:t>
            </w:r>
          </w:p>
        </w:tc>
        <w:tc>
          <w:tcPr>
            <w:tcW w:w="10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(4,985)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(47,153)</w:t>
            </w:r>
          </w:p>
        </w:tc>
        <w:tc>
          <w:tcPr>
            <w:tcW w:w="12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109,724</w:t>
            </w: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on extinguishment of preferred stock</w:t>
            </w:r>
          </w:p>
        </w:tc>
        <w:tc>
          <w:tcPr>
            <w:tcW w:w="1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Balance Sheet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summarized balance sheet. All property, plant and equipment and leasing equipment are located in North America.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 2026</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Ports and Terminals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Repauno</w:t>
            </w:r>
          </w:p>
        </w:tc>
        <w:tc>
          <w:tcPr>
            <w:tcW w:w="1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Power and Gas</w:t>
            </w:r>
          </w:p>
        </w:tc>
        <w:tc>
          <w:tcPr>
            <w:tcW w:w="136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Sustainability and</w:t>
            </w:r>
          </w:p>
        </w:tc>
        <w:tc>
          <w:tcPr>
            <w:tcW w:w="120" w:type="dxa"/>
            <w:vAlign w:val="bottom"/>
          </w:tcPr>
          <w:p>
            <w:pPr>
              <w:spacing w:after="0"/>
              <w:rPr>
                <w:sz w:val="12"/>
                <w:szCs w:val="12"/>
                <w:color w:val="auto"/>
              </w:rPr>
            </w:pPr>
          </w:p>
        </w:tc>
        <w:tc>
          <w:tcPr>
            <w:tcW w:w="98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Energy Transition</w:t>
            </w: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96,922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84,140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131,372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68,159</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16,490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397,577</w:t>
            </w:r>
          </w:p>
        </w:tc>
        <w:tc>
          <w:tcPr>
            <w:tcW w:w="0" w:type="dxa"/>
            <w:vAlign w:val="bottom"/>
          </w:tcPr>
          <w:p>
            <w:pPr>
              <w:spacing w:after="0"/>
              <w:rPr>
                <w:sz w:val="1"/>
                <w:szCs w:val="1"/>
                <w:color w:val="auto"/>
              </w:rPr>
            </w:pPr>
          </w:p>
        </w:tc>
      </w:tr>
      <w:tr>
        <w:trPr>
          <w:trHeight w:val="202"/>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Non-current assets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1,994,448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1,100,671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481,891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1,625,173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49,005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39,767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5,290,955</w:t>
            </w:r>
          </w:p>
        </w:tc>
        <w:tc>
          <w:tcPr>
            <w:tcW w:w="0" w:type="dxa"/>
            <w:vAlign w:val="bottom"/>
          </w:tcPr>
          <w:p>
            <w:pPr>
              <w:spacing w:after="0"/>
              <w:rPr>
                <w:sz w:val="1"/>
                <w:szCs w:val="1"/>
                <w:color w:val="auto"/>
              </w:rPr>
            </w:pPr>
          </w:p>
        </w:tc>
      </w:tr>
      <w:tr>
        <w:trPr>
          <w:trHeight w:val="22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2,091,370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1,184,811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613,263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1,693,332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49,499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56,257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5,688,532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47,958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920,322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389,383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1,145,879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1,309,608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3,813,150</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87,375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75,880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38,646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131,175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28,628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361,722</w:t>
            </w:r>
          </w:p>
        </w:tc>
        <w:tc>
          <w:tcPr>
            <w:tcW w:w="0" w:type="dxa"/>
            <w:vAlign w:val="bottom"/>
          </w:tcPr>
          <w:p>
            <w:pPr>
              <w:spacing w:after="0"/>
              <w:rPr>
                <w:sz w:val="1"/>
                <w:szCs w:val="1"/>
                <w:color w:val="auto"/>
              </w:rPr>
            </w:pPr>
          </w:p>
        </w:tc>
      </w:tr>
      <w:tr>
        <w:trPr>
          <w:trHeight w:val="201"/>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504,799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981,715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390,710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1,303,494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1,326,030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4,506,748</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592,174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1,057,595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429,356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1,434,669</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1,354,658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4,868,470</w:t>
            </w:r>
          </w:p>
        </w:tc>
        <w:tc>
          <w:tcPr>
            <w:tcW w:w="0" w:type="dxa"/>
            <w:vAlign w:val="bottom"/>
          </w:tcPr>
          <w:p>
            <w:pPr>
              <w:spacing w:after="0"/>
              <w:rPr>
                <w:sz w:val="1"/>
                <w:szCs w:val="1"/>
                <w:color w:val="auto"/>
              </w:rPr>
            </w:pPr>
          </w:p>
        </w:tc>
      </w:tr>
      <w:tr>
        <w:trPr>
          <w:trHeight w:val="251"/>
        </w:trPr>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Redeemable preferred stock</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970,516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152,642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1,123,158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Non-controlling interests in equity of</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5,438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(187,930)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6,380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(180,633)</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subsidiaries</w:t>
            </w: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528,680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127,216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183,907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258,663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49,481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(1,451,043)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(303,096)</w:t>
            </w:r>
          </w:p>
        </w:tc>
        <w:tc>
          <w:tcPr>
            <w:tcW w:w="0" w:type="dxa"/>
            <w:vAlign w:val="bottom"/>
          </w:tcPr>
          <w:p>
            <w:pPr>
              <w:spacing w:after="0"/>
              <w:rPr>
                <w:sz w:val="1"/>
                <w:szCs w:val="1"/>
                <w:color w:val="auto"/>
              </w:rPr>
            </w:pPr>
          </w:p>
        </w:tc>
      </w:tr>
      <w:tr>
        <w:trPr>
          <w:trHeight w:val="129"/>
        </w:trPr>
        <w:tc>
          <w:tcPr>
            <w:tcW w:w="31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Total liabilities, redeemable preferred stock</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2,091,370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1,184,811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613,263</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1,693,332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49,499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56,257</w:t>
            </w:r>
          </w:p>
        </w:tc>
        <w:tc>
          <w:tcPr>
            <w:tcW w:w="12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5,688,532</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and equity</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gridSpan w:val="2"/>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right="188"/>
              <w:spacing w:after="0"/>
              <w:rPr>
                <w:sz w:val="20"/>
                <w:szCs w:val="20"/>
                <w:color w:val="auto"/>
              </w:rPr>
            </w:pPr>
            <w:r>
              <w:rPr>
                <w:rFonts w:ascii="Arial" w:cs="Arial" w:eastAsia="Arial" w:hAnsi="Arial"/>
                <w:sz w:val="14"/>
                <w:szCs w:val="14"/>
                <w:b w:val="1"/>
                <w:bCs w:val="1"/>
                <w:color w:val="auto"/>
              </w:rPr>
              <w:t>December 31, 2025</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Ports and Terminals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Repauno</w:t>
            </w:r>
          </w:p>
        </w:tc>
        <w:tc>
          <w:tcPr>
            <w:tcW w:w="1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Power and Gas</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Sustainability and</w:t>
            </w: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Energy Transition</w:t>
            </w: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90,394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100,455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84,222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28,459</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484,011</w:t>
            </w:r>
          </w:p>
        </w:tc>
        <w:tc>
          <w:tcPr>
            <w:tcW w:w="0" w:type="dxa"/>
            <w:vAlign w:val="bottom"/>
          </w:tcPr>
          <w:p>
            <w:pPr>
              <w:spacing w:after="0"/>
              <w:rPr>
                <w:sz w:val="1"/>
                <w:szCs w:val="1"/>
                <w:color w:val="auto"/>
              </w:rPr>
            </w:pPr>
          </w:p>
        </w:tc>
      </w:tr>
      <w:tr>
        <w:trPr>
          <w:trHeight w:val="202"/>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Non-current assets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2,010,137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1,112,460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1,637,568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32,383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5,264,650</w:t>
            </w:r>
          </w:p>
        </w:tc>
        <w:tc>
          <w:tcPr>
            <w:tcW w:w="0" w:type="dxa"/>
            <w:vAlign w:val="bottom"/>
          </w:tcPr>
          <w:p>
            <w:pPr>
              <w:spacing w:after="0"/>
              <w:rPr>
                <w:sz w:val="1"/>
                <w:szCs w:val="1"/>
                <w:color w:val="auto"/>
              </w:rPr>
            </w:pPr>
          </w:p>
        </w:tc>
      </w:tr>
      <w:tr>
        <w:trPr>
          <w:trHeight w:val="22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2,100,531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1,212,915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616,693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1,721,790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47,099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49,633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5,748,661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959,720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1,154,374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1,225,479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3,774,173</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80,532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121,528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125,740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409,997</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453,909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988,828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390,140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1,334,995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1,226,809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4,394,681</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534,441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1,110,356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429,104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1,460,735</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1,269,132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4,804,678</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Redeemable preferred stock</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937,578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1,090,220</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Non-controlling interests in equity of</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5,996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(174,252)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4,843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(167,561)</w:t>
            </w:r>
          </w:p>
        </w:tc>
        <w:tc>
          <w:tcPr>
            <w:tcW w:w="0" w:type="dxa"/>
            <w:vAlign w:val="bottom"/>
          </w:tcPr>
          <w:p>
            <w:pPr>
              <w:spacing w:after="0"/>
              <w:rPr>
                <w:sz w:val="1"/>
                <w:szCs w:val="1"/>
                <w:color w:val="auto"/>
              </w:rPr>
            </w:pPr>
          </w:p>
        </w:tc>
      </w:tr>
      <w:tr>
        <w:trPr>
          <w:trHeight w:val="185"/>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subsidiaries</w:t>
            </w: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628,512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102,559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187,589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261,055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46,189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(1,372,141)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(146,237)</w:t>
            </w:r>
          </w:p>
        </w:tc>
        <w:tc>
          <w:tcPr>
            <w:tcW w:w="0" w:type="dxa"/>
            <w:vAlign w:val="bottom"/>
          </w:tcPr>
          <w:p>
            <w:pPr>
              <w:spacing w:after="0"/>
              <w:rPr>
                <w:sz w:val="1"/>
                <w:szCs w:val="1"/>
                <w:color w:val="auto"/>
              </w:rPr>
            </w:pPr>
          </w:p>
        </w:tc>
      </w:tr>
      <w:tr>
        <w:trPr>
          <w:trHeight w:val="134"/>
        </w:trPr>
        <w:tc>
          <w:tcPr>
            <w:tcW w:w="316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Total liabilities, redeemable preferred stock</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2,100,531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1,212,915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616,693</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1,721,790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47,099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49,633</w:t>
            </w:r>
          </w:p>
        </w:tc>
        <w:tc>
          <w:tcPr>
            <w:tcW w:w="12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5,748,661</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and equity</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REDEEMABLE PREFERRED STOCK</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Series B Preferred Stock - Redeemable Convertible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the Company has $18.5 million of cumulative dividends increasing the liquidation preference on the Series B Preferred Stock.</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Dividends are not recorded as redemption is not currently expected.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If the Series B Preferred Stock were redeemed due to a change in control as of March 31, 2026, it would be redeemable for $182.0 million.</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Series B Preferred Stock were converted at the option of the holder as of March 31, 2026, it would be converted to 21,818,025 shares of common stock. The Company would have no obligation under the Share Cap to pay cash on an optional conversion at March 31, 2026.</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Series A Preferred Stock - RailCo - Redeemable Preferred Stock - Non-Controlling Interest</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2026, RR Holdings had $64.4 million of PIK dividends increasing its Series A Preferred Units (“Series A Preferred Stock - RailCo”) balance. Dividends recorded in Dividends and accretion of redeemable preferred stock on the Consolidated Statements of Operations totaled $27.0 million for the three months ended March 31, 2026.</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has presented the Series A Preferred Stock - RailCo in temporary equity and is accreting the discount and issuance costs using the interest method to the earliest redemption date of August 25, 2032. Such accretion, recorded in Dividends and accretion of redeemable preferred stock on the</w:t>
      </w:r>
    </w:p>
    <w:p>
      <w:pPr>
        <w:spacing w:after="0"/>
        <w:rPr>
          <w:sz w:val="20"/>
          <w:szCs w:val="20"/>
          <w:color w:val="auto"/>
        </w:rPr>
      </w:pPr>
      <w:r>
        <w:rPr>
          <w:rFonts w:ascii="Arial" w:cs="Arial" w:eastAsia="Arial" w:hAnsi="Arial"/>
          <w:sz w:val="16"/>
          <w:szCs w:val="16"/>
          <w:color w:val="auto"/>
        </w:rPr>
        <w:t>Consolidated Statements of Operations, totaled $5.2 million for the three months ended March 31, 2026.</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the Series A Preferred Stock - RailCo shares would be redeemable at a redemption price per share of $1,417.49.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EARNINGS PER SHARE AND EQUITY</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Basic (loss) earnings per share of common stock is calculated by dividing net (loss) income attributable to stockholders, before series B preferred stock dividend and loss on extinguishment of preferred stock by the weighted average number of shares of common stock outstanding. Diluted (loss) earnings per share is calculated by dividing net (loss) income attributable to stockholders, before series B preferred stock dividend and loss on extinguishment of preferred stock by the weighted average number of shares of common stock outstanding, plus any potentially dilutive securities, if dilutive. Potentially dilutive securities are calculated using the treasury stock method.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(loss) earnings per share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(127,211)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120,164</w:t>
            </w:r>
          </w:p>
        </w:tc>
        <w:tc>
          <w:tcPr>
            <w:tcW w:w="0" w:type="dxa"/>
            <w:vAlign w:val="bottom"/>
          </w:tcPr>
          <w:p>
            <w:pPr>
              <w:spacing w:after="0"/>
              <w:rPr>
                <w:sz w:val="1"/>
                <w:szCs w:val="1"/>
                <w:color w:val="auto"/>
              </w:rPr>
            </w:pPr>
          </w:p>
        </w:tc>
      </w:tr>
      <w:tr>
        <w:trPr>
          <w:trHeight w:val="195"/>
        </w:trPr>
        <w:tc>
          <w:tcPr>
            <w:tcW w:w="810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(14,260)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(11,401)</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Preferred dividends and accretion on redeemable non-controlling interests</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8100" w:type="dxa"/>
            <w:vAlign w:val="bottom"/>
          </w:tcPr>
          <w:p>
            <w:pPr>
              <w:ind w:left="20"/>
              <w:spacing w:after="0"/>
              <w:rPr>
                <w:sz w:val="20"/>
                <w:szCs w:val="20"/>
                <w:color w:val="auto"/>
              </w:rPr>
            </w:pPr>
            <w:r>
              <w:rPr>
                <w:rFonts w:ascii="Arial" w:cs="Arial" w:eastAsia="Arial" w:hAnsi="Arial"/>
                <w:sz w:val="14"/>
                <w:szCs w:val="14"/>
                <w:color w:val="auto"/>
              </w:rPr>
              <w:t>Less: Dividends and accretion of redeemable preferred stock</w:t>
            </w:r>
          </w:p>
        </w:tc>
        <w:tc>
          <w:tcPr>
            <w:tcW w:w="3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21,841</w:t>
            </w:r>
          </w:p>
        </w:tc>
        <w:tc>
          <w:tcPr>
            <w:tcW w:w="0" w:type="dxa"/>
            <w:vAlign w:val="bottom"/>
          </w:tcPr>
          <w:p>
            <w:pPr>
              <w:spacing w:after="0"/>
              <w:rPr>
                <w:sz w:val="1"/>
                <w:szCs w:val="1"/>
                <w:color w:val="auto"/>
              </w:rPr>
            </w:pPr>
          </w:p>
        </w:tc>
      </w:tr>
      <w:tr>
        <w:trPr>
          <w:trHeight w:val="134"/>
        </w:trPr>
        <w:tc>
          <w:tcPr>
            <w:tcW w:w="810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color w:val="auto"/>
              </w:rPr>
              <w:t>Net (loss) income attributable to stockholders, before series B preferred stock dividend and loss on extinguishment of</w:t>
            </w:r>
          </w:p>
        </w:tc>
        <w:tc>
          <w:tcPr>
            <w:tcW w:w="3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(150,172)</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109,724</w:t>
            </w:r>
          </w:p>
        </w:tc>
        <w:tc>
          <w:tcPr>
            <w:tcW w:w="0" w:type="dxa"/>
            <w:vAlign w:val="bottom"/>
          </w:tcPr>
          <w:p>
            <w:pPr>
              <w:spacing w:after="0"/>
              <w:rPr>
                <w:sz w:val="1"/>
                <w:szCs w:val="1"/>
                <w:color w:val="auto"/>
              </w:rPr>
            </w:pPr>
          </w:p>
        </w:tc>
      </w:tr>
      <w:tr>
        <w:trPr>
          <w:trHeight w:val="185"/>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3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Convertible preferred stock dividend</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222"/>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common stockholders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(154,525)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108,257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Common Stock Outstanding -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116,689,474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114,101,860</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Common Stock Outstanding - Diluted</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116,689,474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122,758,859</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earnings per share:</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00" w:type="dxa"/>
            <w:vAlign w:val="bottom"/>
          </w:tcPr>
          <w:p>
            <w:pPr>
              <w:ind w:left="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Diluted </w:t>
            </w:r>
            <w:r>
              <w:rPr>
                <w:rFonts w:ascii="Arial" w:cs="Arial" w:eastAsia="Arial" w:hAnsi="Arial"/>
                <w:sz w:val="9"/>
                <w:szCs w:val="9"/>
                <w:color w:val="auto"/>
              </w:rPr>
              <w:t>(1)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80" w:hanging="172"/>
        <w:spacing w:after="0" w:line="272" w:lineRule="auto"/>
        <w:tabs>
          <w:tab w:leader="none" w:pos="177" w:val="left"/>
        </w:tabs>
        <w:numPr>
          <w:ilvl w:val="0"/>
          <w:numId w:val="13"/>
        </w:numPr>
        <w:rPr>
          <w:rFonts w:ascii="Arial" w:cs="Arial" w:eastAsia="Arial" w:hAnsi="Arial"/>
          <w:sz w:val="9"/>
          <w:szCs w:val="9"/>
          <w:color w:val="auto"/>
        </w:rPr>
      </w:pPr>
      <w:r>
        <w:rPr>
          <w:rFonts w:ascii="Arial" w:cs="Arial" w:eastAsia="Arial" w:hAnsi="Arial"/>
          <w:sz w:val="14"/>
          <w:szCs w:val="14"/>
          <w:color w:val="auto"/>
        </w:rPr>
        <w:t>Diluted (loss) earnings per share for the three months ended March 31, 2026 and 2025 includes the dilutive effect of subsidiary earnings per share and convertible preferred stock.</w:t>
      </w:r>
    </w:p>
    <w:p>
      <w:pPr>
        <w:spacing w:after="0" w:line="28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For the three months ended March 31, 2026 and 2025, 23,783,649 and — shares of common stock, respectively, have been excluded from the calculation of Diluted loss per share because the impact would be anti-dilutive.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00497F"/>
        </w:rPr>
        <w:t>FTAI INFRASTRUCTURE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 xml:space="preserve">NOTES TO CONSOLIDATED FINANCIAL STATEMENTS </w:t>
      </w:r>
      <w:r>
        <w:rPr>
          <w:rFonts w:ascii="Arial" w:cs="Arial" w:eastAsia="Arial" w:hAnsi="Arial"/>
          <w:sz w:val="18"/>
          <w:szCs w:val="18"/>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Stock Warrants</w:t>
      </w:r>
    </w:p>
    <w:p>
      <w:pPr>
        <w:spacing w:after="0" w:line="11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March 31, 2026, there were no changes to the number of the Company’s outstanding equity classified stock warrants. The weighted average exercise price was $9.64 and $9.76 as of March 31, 2026 and December 31, 2025, respectively. The weighted average exercise price as of March 31, 2026 includes adjustments for quarterly dividend payments.</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weighted average remaining contractual term of the outstanding warrants as of March 31, 2026 is 4.3 years. The aggregate intrinsic value of the warrants as of March 31, 2026 is $—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COMMITMENTS AND CONTINGENCIES</w:t>
      </w:r>
    </w:p>
    <w:p>
      <w:pPr>
        <w:spacing w:after="0" w:line="1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SUBSEQUENT EVENTS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Long Ridge Acquiom Loan Amendment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April 29, 2026, Long Ridge Energy &amp; Power LLC entered into Third Amendment to Credit Agreement, which amended the Long Ridge Acquiom Loan to, among other things, refinance all outstanding indebtedness under the existing Long Ridge Acquiom Loan and borrow an additional $10.0 million in the form of incremental loans for working capital and other general corporate purposes.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Sale of Long Ridge Energy &amp; Power LLC</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April 29, 2026, Ohio River Partners Holdco LLC (“ORPH”), a Delaware limited liability company and a direct wholly-owned subsidiary of FTAI Infrastructure, Ohio River Partners Finance LLC, a Delaware limited liability company and a direct wholly-owned subsidiary of ORPH (together with ORPH, “Sellers”), and, solely for the purposes specified, FTAI Infrastructure entered into an equity purchase agreement (the “Agreement”) with MARA USA Corporation (“Buyer”), a Delaware corporation and a direct wholly-owned subsidiary of MARA Holdings, Inc. (“Buyer Parent”), and, solely for the purposes specified, Buyer Parent, pursuant to which, among other things, upon the terms and subject to the conditions set forth in the Agreement, Buyer will purchase all of the issued and outstanding membership interests of Long Ridge Energy &amp; Power LLC, a Delaware limited liability company and an indirect wholly-owned subsidiary of FTAI Infrastructure, from Sellers, for a base purchase price of $1.52 billion, subject to certain customary adjustments set forth in the Agreement.</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Refer to the Company’s Form 8-K which was filed with the Securities and Exchange Commission on April 30, 2026 for 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May 7, 2026, our board of directors declared a cash dividend on our common stock of $0.03 per share for the quarter ended March 31, 2026, payable on June 12, 2026 to the holders of record on May 18, 2026.</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FTAI Infrastructure Inc. (“we”, “us”, “our”, or the “Company”). Our MD&amp;A should be read in conjunction with our unaudited consolidated financial statements and the accompanying notes, and with Part II, Item 1A, “Risk Factors” and “Forward-Looking Statements” included elsewhere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in the business of acquiring, developing and operating assets and businesses that represent critical infrastructure for customers in the transportation, energy and industrial products industries. We were formed on December 13, 2021 as FTAI Infrastructure LLC, a Delaware limited liability company and subsidiary of FTAI Aviation Ltd. (previously Fortress Transportation and Infrastructure Investors LLC; “FTAI” or “Former Parent”). We are a publicly-traded company trading on The Nasdaq Global Select Market under the symbol “FIP.”</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operations consist of four primary business lines: (i) Railroad, (ii) Ports and Terminals, (iii) Power and Gas and (iv) Sustainability and Energy Transition. Our Railroad business primarily invests in and operates short line and regional railroads in North America. Our Ports and Terminals business, consisting of our Jefferson Terminal and Repauno segments, develops or acquires industrial properties in strategic locations that store and handle for third parties a variety of energy products, including crude oil, refined products and clean fuels. Our Power and Gas business develops and operates facilities, such as a 485 megawatt power plant at the Long Ridge terminal in Ohio, that leverage the property’s location and key attributes to generate incremental value. Our Sustainability and Energy Transition business focuses on investments in companies and assets that utilize green technology, produce sustainable fuels and products or enable customers to reduce their carbon footprint.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expect to continue to invest in such market sectors, and pursue additional investment opportunities in other infrastructure businesses and assets we believe to be attractive and meet our investment objectives. Our team focuses on acquiring a diverse group of long-lived assets or operating businesses that provide mission-critical services or functions to infrastructure networks and typically have high barriers to entry, strong margins, stable cash flows and upside from earnings growth and asset appreciation driven by increased use and inflation. We believe that there are a large number of acquisition opportunities in our markets and that our Manager’s expertise and business and financing relationships, together with our access to capital and generally available capital for infrastructure projects in today’s marketplace, will allow us to take advantage of these opportunities. As of March 31, 2026, we had total consolidated assets of $5.7 billion and redeemable preferred stock and equity of $820.1 million.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infrastructure assets. We have five reportable segments which operate in infrastructure businesses across several market sectors, all in North America. Our reportable segments are (i) Railroad, (ii) Jefferson Terminal, (iii) Repauno, (iv) Power and Gas and (v) Sustainability and Energy Transition.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14, 2024, certain members of Fortress management and affiliates of Mubadala Investment Company, through its wholly owned asset management subsidiary, Mubadala Capital (“Mubadala”), completed their acquisition of 100% of the equity of Fortress. Fortress continues to operate as an independent investment manager under the Fortress brand, with autonomy over investment processes and decision making, personnel and operations.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as well as make resource and allocation decisions. We believe Adjusted EBITDA is a useful metric for investors and analysts for similar purposes of assessing our operational performance.</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is defined as net income (loss) attributable to stockholders, before series B preferred stock dividend and loss on extinguishment of preferred stock, adjusted (a) to exclude the impact of provision for (benefit from) income taxes, equity-based compensation expense, acquisition and transaction expenses, gains (losses) on the modification or extinguishment of debt and capital lease obligations, changes in fair value of non-hedge derivative instruments, asset impairment charges, incentive allocations, depreciation and amortization expense, interest expense, interest and other costs on pension and OPEB liabilities, dividends and accretion of redeemable preferred stock, and other non-recurring items, (b) to include the impact of our pro-rata share of Adjusted EBITDA from unconsolidated entities, and (c) to exclude the impact of equity in earnings (losses) of unconsolidated entities and the non-controlling share of Adjusted EBITDA</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believe that net income (loss) attributable to stockholders, before series B preferred stock dividend and loss on extinguishment of preferred stock, as defined by U.S. GAAP, is the most appropriate earnings measure with which to reconcile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3" w:name="page34"/>
    <w:bookmarkEnd w:id="33"/>
    <w:p>
      <w:pPr>
        <w:spacing w:after="0" w:line="286" w:lineRule="auto"/>
        <w:rPr>
          <w:sz w:val="20"/>
          <w:szCs w:val="20"/>
          <w:color w:val="auto"/>
        </w:rPr>
      </w:pPr>
      <w:r>
        <w:rPr>
          <w:rFonts w:ascii="Arial" w:cs="Arial" w:eastAsia="Arial" w:hAnsi="Arial"/>
          <w:sz w:val="16"/>
          <w:szCs w:val="16"/>
          <w:color w:val="auto"/>
        </w:rPr>
        <w:t>Adjusted EBITDA. Adjusted EBITDA should not be considered as an alternative to net income (loss) attributable to stockholders, before series B preferred stock dividend and loss on extinguishment of preferred stock as determined in accordance with U.S. GAAP.</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2026 and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2,495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82,293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40,119</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28,308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5,603</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Roadside services 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Power revenues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45,628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29,848</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Gas 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14,768</w:t>
            </w:r>
          </w:p>
        </w:tc>
        <w:tc>
          <w:tcPr>
            <w:tcW w:w="0" w:type="dxa"/>
            <w:vAlign w:val="bottom"/>
          </w:tcPr>
          <w:p>
            <w:pPr>
              <w:spacing w:after="0"/>
              <w:rPr>
                <w:sz w:val="1"/>
                <w:szCs w:val="1"/>
                <w:color w:val="auto"/>
              </w:rPr>
            </w:pPr>
          </w:p>
        </w:tc>
      </w:tr>
      <w:tr>
        <w:trPr>
          <w:trHeight w:val="20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188,364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96,161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92,203</w:t>
            </w:r>
          </w:p>
        </w:tc>
        <w:tc>
          <w:tcPr>
            <w:tcW w:w="0" w:type="dxa"/>
            <w:vAlign w:val="bottom"/>
          </w:tcPr>
          <w:p>
            <w:pPr>
              <w:spacing w:after="0"/>
              <w:rPr>
                <w:sz w:val="1"/>
                <w:szCs w:val="1"/>
                <w:color w:val="auto"/>
              </w:rPr>
            </w:pPr>
          </w:p>
        </w:tc>
      </w:tr>
      <w:tr>
        <w:trPr>
          <w:trHeight w:val="251"/>
        </w:trPr>
        <w:tc>
          <w:tcPr>
            <w:tcW w:w="7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120,394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67,045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53,349</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6,820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50,691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25,679</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185,551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82,324</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(5,832)</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 assets, net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(120,394)</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(45,914)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(45,907)</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(82,487)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(39,375)</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(126,501)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(212,217)</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income from before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(123,688)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78,650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(202,338)</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45,037</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(127,211)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120,164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(247,375)</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 - common stockholders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Less: Preferred dividends and accretion on redeemable non-controlling interests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37,221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37,221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and accretion of redeemable preferred stock</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(21,841)</w:t>
            </w:r>
          </w:p>
        </w:tc>
        <w:tc>
          <w:tcPr>
            <w:tcW w:w="0" w:type="dxa"/>
            <w:vAlign w:val="bottom"/>
          </w:tcPr>
          <w:p>
            <w:pPr>
              <w:spacing w:after="0"/>
              <w:rPr>
                <w:sz w:val="1"/>
                <w:szCs w:val="1"/>
                <w:color w:val="auto"/>
              </w:rPr>
            </w:pPr>
          </w:p>
        </w:tc>
      </w:tr>
      <w:tr>
        <w:trPr>
          <w:trHeight w:val="129"/>
        </w:trPr>
        <w:tc>
          <w:tcPr>
            <w:tcW w:w="78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(loss) income attributable to stockholders, before series B preferred stock dividend and loss on</w:t>
            </w: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(150,172)</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109,724</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(259,896)</w:t>
            </w:r>
          </w:p>
        </w:tc>
        <w:tc>
          <w:tcPr>
            <w:tcW w:w="0" w:type="dxa"/>
            <w:vAlign w:val="bottom"/>
          </w:tcPr>
          <w:p>
            <w:pPr>
              <w:spacing w:after="0"/>
              <w:rPr>
                <w:sz w:val="1"/>
                <w:szCs w:val="1"/>
                <w:color w:val="auto"/>
              </w:rPr>
            </w:pPr>
          </w:p>
        </w:tc>
      </w:tr>
      <w:tr>
        <w:trPr>
          <w:trHeight w:val="167"/>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extinguishment of preferred stock</w:t>
            </w: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spacing w:after="0" w:line="286" w:lineRule="auto"/>
        <w:rPr>
          <w:sz w:val="20"/>
          <w:szCs w:val="20"/>
          <w:color w:val="auto"/>
        </w:rPr>
      </w:pPr>
      <w:r>
        <w:rPr>
          <w:rFonts w:ascii="Arial" w:cs="Arial" w:eastAsia="Arial" w:hAnsi="Arial"/>
          <w:sz w:val="16"/>
          <w:szCs w:val="16"/>
          <w:color w:val="auto"/>
        </w:rPr>
        <w:t>The following table sets forth a reconciliation of net (loss) income attributable to stockholders, before series B preferred stock dividend and loss on extinguishment of preferred stock to Adjusted EBITDA: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0"/>
        </w:trPr>
        <w:tc>
          <w:tcPr>
            <w:tcW w:w="7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income attributable to stockholders, before series B preferred stock dividend and loss on</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(150,172)</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109,724</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(259,896)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extinguishment of preferred stock</w:t>
            </w: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(41,514)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45,037</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9,725</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6,820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45,914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45,907</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41,688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17,031</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82,487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43,112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39,375</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37,221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21,841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15,380</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Other non-recurring items </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5,832</w:t>
            </w: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(4)</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(10,906)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(3,574)</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70,592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155,219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(84,627)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31" w:lineRule="exact"/>
        <w:rPr>
          <w:sz w:val="20"/>
          <w:szCs w:val="20"/>
          <w:color w:val="auto"/>
        </w:rPr>
      </w:pPr>
    </w:p>
    <w:p>
      <w:pPr>
        <w:ind w:left="180" w:hanging="172"/>
        <w:spacing w:after="0" w:line="238" w:lineRule="auto"/>
        <w:tabs>
          <w:tab w:leader="none" w:pos="15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2026 and 2025: (i) depreciation and amortization expense of $50,691 and $25,012, (ii) capitalized contract costs amortization of $1,233 and $1,233 and (iii) amortization of other comprehensive income of $(10,236) and $(1,588), respectively.</w:t>
      </w:r>
    </w:p>
    <w:p>
      <w:pPr>
        <w:spacing w:after="0" w:line="8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2026 and 2025: (i) net (loss) income of $(518) and $6,578, (ii) interest expense of $— and $7,648,</w:t>
      </w:r>
    </w:p>
    <w:p>
      <w:pPr>
        <w:spacing w:after="0" w:line="28" w:lineRule="exact"/>
        <w:rPr>
          <w:rFonts w:ascii="Arial" w:cs="Arial" w:eastAsia="Arial" w:hAnsi="Arial"/>
          <w:sz w:val="9"/>
          <w:szCs w:val="9"/>
          <w:color w:val="auto"/>
        </w:rPr>
      </w:pPr>
    </w:p>
    <w:p>
      <w:pPr>
        <w:ind w:left="180" w:hanging="10"/>
        <w:spacing w:after="0" w:line="284" w:lineRule="auto"/>
        <w:tabs>
          <w:tab w:leader="none" w:pos="423" w:val="left"/>
        </w:tabs>
        <w:numPr>
          <w:ilvl w:val="1"/>
          <w:numId w:val="14"/>
        </w:numPr>
        <w:rPr>
          <w:rFonts w:ascii="Arial" w:cs="Arial" w:eastAsia="Arial" w:hAnsi="Arial"/>
          <w:sz w:val="14"/>
          <w:szCs w:val="14"/>
          <w:color w:val="auto"/>
        </w:rPr>
      </w:pPr>
      <w:r>
        <w:rPr>
          <w:rFonts w:ascii="Arial" w:cs="Arial" w:eastAsia="Arial" w:hAnsi="Arial"/>
          <w:sz w:val="14"/>
          <w:szCs w:val="14"/>
          <w:color w:val="auto"/>
        </w:rPr>
        <w:t>depreciation and amortization expense of $— and $2,884, (iv) acquisition and transaction expenses of $— and $201, (v) changes in fair value of non-hedge derivative instruments of $— and $(12,822), (vi) equity method basis adjustments of $— and $10 and (vii) other non-recurring items of $— and $1, respectively.</w:t>
      </w:r>
    </w:p>
    <w:p>
      <w:pPr>
        <w:spacing w:after="0" w:line="46" w:lineRule="exact"/>
        <w:rPr>
          <w:rFonts w:ascii="Arial" w:cs="Arial" w:eastAsia="Arial" w:hAnsi="Arial"/>
          <w:sz w:val="14"/>
          <w:szCs w:val="14"/>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2026: (i) Railroad severance and integration expenses of $1,471 and (ii) unrealized loss on investment of</w:t>
      </w:r>
    </w:p>
    <w:p>
      <w:pPr>
        <w:ind w:left="180"/>
        <w:spacing w:after="0"/>
        <w:rPr>
          <w:rFonts w:ascii="Arial" w:cs="Arial" w:eastAsia="Arial" w:hAnsi="Arial"/>
          <w:sz w:val="18"/>
          <w:szCs w:val="18"/>
          <w:color w:val="auto"/>
          <w:vertAlign w:val="superscript"/>
        </w:rPr>
      </w:pPr>
      <w:r>
        <w:rPr>
          <w:rFonts w:ascii="Arial" w:cs="Arial" w:eastAsia="Arial" w:hAnsi="Arial"/>
          <w:sz w:val="14"/>
          <w:szCs w:val="14"/>
          <w:color w:val="auto"/>
        </w:rPr>
        <w:t>$1,190. Includes the following items for the three months ended March 31, 2025: (i) incidental utility rebillings of $650 and (ii) loss on inventory heel of $385.</w:t>
      </w:r>
    </w:p>
    <w:p>
      <w:pPr>
        <w:spacing w:after="0" w:line="95" w:lineRule="exact"/>
        <w:rPr>
          <w:rFonts w:ascii="Arial" w:cs="Arial" w:eastAsia="Arial" w:hAnsi="Arial"/>
          <w:sz w:val="18"/>
          <w:szCs w:val="18"/>
          <w:color w:val="auto"/>
          <w:vertAlign w:val="superscript"/>
        </w:rPr>
      </w:pPr>
    </w:p>
    <w:p>
      <w:pPr>
        <w:jc w:val="both"/>
        <w:ind w:left="180" w:hanging="172"/>
        <w:spacing w:after="0" w:line="274" w:lineRule="auto"/>
        <w:tabs>
          <w:tab w:leader="none" w:pos="174"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2026 and 2025: (i) equity-based compensation expense of $1,772 and $138, (ii) provision for income taxes of $66 and $104, (iii) interest expense of $4,052 and $3,940, (iv) depreciation and amortization expense of $3,331 and $3,069, (v) acquisition and transaction expenses of $15 and $1, (vi) interest and other costs on pension and OPEB liabilities of $— and $(2), (vii) asset impairment charges of $— and $19, (viii) losses on the modification or extinguishment of debt of $1,489 and $2, (ix) dividends and accretion of redeemable preferred stock of $175 and $— and (x) other non-recurring items of $6 and $61,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2026 and 2025</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Total revenues increased $92.2 million due to higher revenues of $44.7 million in the Power and Gas segment, $42.4 million in the Railroad segment and $7.9 million in the Jefferson Terminal segment, offset by lower revenues of $2.6 million in the Repauno segment.</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Rail revenues increased $40.1 million primarily due to the completed acquisition and consolidation of Wheeling in December 2025 and increased carloads in the Railroad segment.</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Terminal services revenues increased $5.6 million primarily due to an increase in average refined product throughput volumes in the Jefferson Terminal segment, offset by lower volumes stemming from the terminal’s current butane contract compared to the prior period contract that ended in March 2025 in the Repauno segment.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Power revenues increased $29.8 million due to the acquisition of Long Ridge Energy &amp; Power LLC in February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Gas revenues increased $14.8 million due to the acquisition of Long Ridge Energy &amp; Power LLC in February 2025.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2026 and 2025</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Total expenses increased $82.3 million primarily due to increases in (i) operating expenses, (ii) depreciation and amortization and (iii) acquisition and transaction expenses.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$53.3 million which primarily reflects:</w:t>
      </w:r>
    </w:p>
    <w:p>
      <w:pPr>
        <w:spacing w:after="0" w:line="113" w:lineRule="exact"/>
        <w:rPr>
          <w:sz w:val="20"/>
          <w:szCs w:val="20"/>
          <w:color w:val="auto"/>
        </w:rPr>
      </w:pPr>
    </w:p>
    <w:p>
      <w:pPr>
        <w:ind w:left="660" w:right="2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$21.5 million primarily related to increased Ohio GasCo LLC and Long Ridge West Virginia LLC well operations and full inclusion of operating expenses after the acquisition of 100% of Long Ridge in February 2025 in the Power and Gas segment;</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$7.7 million primarily due to costs associated with stock-based compensation and costs associated with increased terminal throughput activity at Jefferson Terminal; and</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$23.8 million in the Railroad segment mainly due to the full inclusion of operating expenses of Wheeling after the acquisition in December 2025.</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Acquisition and transaction expenses increased $3.3 million primarily due to (i) an increase in legal and consulting fees in the Railroad segment related to the acquisition of Wheeling in December 2025 and (ii) costs incurred with debt refinancing activities and professional fees related to the Wheeling acquisition in the Corporate and Other segment.</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Depreciation and amortization increased $25.7 million primarily due to additional assets at Long Ridge Energy &amp; Power LLC after the acquisition in February 2025 and additional assets at the Railroad segment after the acquisition of Wheeling in December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increased $212.2 million during the three months ended March 31, 2026 primarily due to:</w:t>
      </w:r>
    </w:p>
    <w:p>
      <w:pPr>
        <w:spacing w:after="0" w:line="113" w:lineRule="exact"/>
        <w:rPr>
          <w:sz w:val="20"/>
          <w:szCs w:val="20"/>
          <w:color w:val="auto"/>
        </w:rPr>
      </w:pPr>
    </w:p>
    <w:p>
      <w:pPr>
        <w:ind w:left="6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in loss on modification or extinguishment of debt of $45.9 million due to loss on extinguishment of the Bridge Loan Credit Agreement in the Corporate and Other segment and the June 2025 Jefferson Credit Agreement in the Jefferson Terminal segment;</w:t>
      </w:r>
    </w:p>
    <w:p>
      <w:pPr>
        <w:spacing w:after="0" w:line="6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in interest expense of $39.4 million primarily due to an increase in the average outstanding debt of approximately $1.4 billion which primarily consists of (i) $697.8 million for the Corporate Bridge Loan, (ii) $350.4 million for the Series 2025 Bonds, (iii) $392.3 million for Long Ridge Energy &amp; Power LLC debt and (iv) $50.0 million for the RailCo Revolver; and</w:t>
      </w:r>
    </w:p>
    <w:p>
      <w:pPr>
        <w:spacing w:after="0" w:line="5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decrease in gain on sale of assets of $120.4 million primarily due to a prior year gain from the acquisition of 100% of Long Ridge in February 2025; and</w:t>
      </w:r>
    </w:p>
    <w:p>
      <w:pPr>
        <w:spacing w:after="0" w:line="61"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$5.8 million in equity in losses of unconsolidated entities primarily due to the equity pickup of Long Ridge Energy &amp; Power LLC net earnings in the prior year that were not recognized in the current quarter since 100% of Long Ridge Energy &amp; Power LLC was acquired in February 2025, and therefore no equity pickup was recorded after the acquisition, offset by a decrease in equity in losses of unconsolidated entities in the Sustainability and Energy Transition segment due to lower operating losses at GM-FTAI Holdco LLC.</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(benefit from) income taxes</w:t>
      </w:r>
    </w:p>
    <w:p>
      <w:pPr>
        <w:spacing w:after="0" w:line="1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Provision for income taxes increased $45.0 million during the three months ended March 31, 2026 primarily due to the partial release of the valuation allowance in connection with the acquisition of Long Ridge Energy &amp; Power LLC in February 2025.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Net loss increased $247.4 million during the three months ended March 31, 2026 primarily due to the changes noted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$84.6 million during the three months ended March 31, 2026 primarily due to the changes noted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00497F"/>
        </w:rPr>
        <w:t>Railroad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1,855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82,023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39,849</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85,008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42,631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42,377</w:t>
            </w:r>
          </w:p>
        </w:tc>
        <w:tc>
          <w:tcPr>
            <w:tcW w:w="0" w:type="dxa"/>
            <w:vAlign w:val="bottom"/>
          </w:tcPr>
          <w:p>
            <w:pPr>
              <w:spacing w:after="0"/>
              <w:rPr>
                <w:sz w:val="1"/>
                <w:szCs w:val="1"/>
                <w:color w:val="auto"/>
              </w:rPr>
            </w:pPr>
          </w:p>
        </w:tc>
      </w:tr>
      <w:tr>
        <w:trPr>
          <w:trHeight w:val="197"/>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46,764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23,825</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20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14,401</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67,859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28,118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39,741</w:t>
            </w:r>
          </w:p>
        </w:tc>
        <w:tc>
          <w:tcPr>
            <w:tcW w:w="0" w:type="dxa"/>
            <w:vAlign w:val="bottom"/>
          </w:tcPr>
          <w:p>
            <w:pPr>
              <w:spacing w:after="0"/>
              <w:rPr>
                <w:sz w:val="1"/>
                <w:szCs w:val="1"/>
                <w:color w:val="auto"/>
              </w:rPr>
            </w:pPr>
          </w:p>
        </w:tc>
      </w:tr>
      <w:tr>
        <w:trPr>
          <w:trHeight w:val="251"/>
        </w:trPr>
        <w:tc>
          <w:tcPr>
            <w:tcW w:w="7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15,143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11,845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(1,981)</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income attributable to non-controlling interest in consolidated subsidiaries - common stockholders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Less: Preferred dividends and accretion on redeemable non-controlling interests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37,221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37,221</w:t>
            </w:r>
          </w:p>
        </w:tc>
        <w:tc>
          <w:tcPr>
            <w:tcW w:w="0" w:type="dxa"/>
            <w:vAlign w:val="bottom"/>
          </w:tcPr>
          <w:p>
            <w:pPr>
              <w:spacing w:after="0"/>
              <w:rPr>
                <w:sz w:val="1"/>
                <w:szCs w:val="1"/>
                <w:color w:val="auto"/>
              </w:rPr>
            </w:pPr>
          </w:p>
        </w:tc>
      </w:tr>
      <w:tr>
        <w:trPr>
          <w:trHeight w:val="130"/>
        </w:trPr>
        <w:tc>
          <w:tcPr>
            <w:tcW w:w="7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income attributable to stockholders, before series B preferred stock dividend and loss on</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(25,214)</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13,739</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(38,953)</w:t>
            </w:r>
          </w:p>
        </w:tc>
        <w:tc>
          <w:tcPr>
            <w:tcW w:w="0" w:type="dxa"/>
            <w:vAlign w:val="bottom"/>
          </w:tcPr>
          <w:p>
            <w:pPr>
              <w:spacing w:after="0"/>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extinguishment of preferred stock</w:t>
            </w: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ind w:right="160"/>
        <w:spacing w:after="0" w:line="286" w:lineRule="auto"/>
        <w:rPr>
          <w:sz w:val="20"/>
          <w:szCs w:val="20"/>
          <w:color w:val="auto"/>
        </w:rPr>
      </w:pPr>
      <w:r>
        <w:rPr>
          <w:rFonts w:ascii="Arial" w:cs="Arial" w:eastAsia="Arial" w:hAnsi="Arial"/>
          <w:sz w:val="16"/>
          <w:szCs w:val="16"/>
          <w:color w:val="auto"/>
        </w:rPr>
        <w:t>The following table sets forth a reconciliation of net (loss) income attributable to stockholders to Adjusted EBITDA, before series B preferred stock dividend and loss on extinguishment of preferred stock to Adjusted EBITDA: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7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income attributable to stockholders, before series B preferred stock dividend and loss on</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(25,214)</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13,739</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(38,953)</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extinguishment of preferred stock</w:t>
            </w: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14,401</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37,221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37,221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Other non-recurring items </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40,233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5"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2026: Railroad severance and integration expenses of $1,471.</w:t>
      </w:r>
    </w:p>
    <w:p>
      <w:pPr>
        <w:spacing w:after="0" w:line="93" w:lineRule="exact"/>
        <w:rPr>
          <w:rFonts w:ascii="Arial" w:cs="Arial" w:eastAsia="Arial" w:hAnsi="Arial"/>
          <w:sz w:val="18"/>
          <w:szCs w:val="18"/>
          <w:color w:val="auto"/>
          <w:vertAlign w:val="superscript"/>
        </w:rPr>
      </w:pPr>
    </w:p>
    <w:p>
      <w:pPr>
        <w:jc w:val="both"/>
        <w:ind w:left="180" w:hanging="172"/>
        <w:spacing w:after="0"/>
        <w:tabs>
          <w:tab w:leader="none" w:pos="173"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2026 and 2025: (i) equity-based compensation expense of $2 and $2, (ii) provision for income taxes of $16 and $5, (iii) interest expense of $7 and $1, (iv) depreciation and amortization expense of $92 and $31, (v) acquisition and transaction expenses of $8 and $1, (vi) interest and other costs on pension and OPEB liabilities of $— and $(2), (vii) dividends and accretion of redeemable preferred stock of $175 and $—, (viii) changes in fair value of non-hedge derivative instruments of $4 and $— and (ix) other non-recurring items of $6 and $—,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Total revenues increased $42.4 million during the three months ended March 31, 2026 primarily due to the completed acquisition and consolidation of Wheeling in December 2025 and increased carloads.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$39.7 million during the three months ended March 31, 2026, which primarily reflects:</w:t>
      </w:r>
    </w:p>
    <w:p>
      <w:pPr>
        <w:spacing w:after="0" w:line="127"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in operating expenses of $23.8 million due to the completed acquisition and consolidation of Wheeling in December 2025;</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in acquisition and transaction costs of $1.5 million related to the completed acquisition and consolidation of Wheeling in December 2025; and</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in depreciation and amortization expense of $14.4 million related to depreciation expense on Wheeling assets due to the completed acquisition and consolidation in December 2025.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Total other expense increased $2.1 million during the three months ended March 31, 2026 which primarily reflects an increase in interest expense on the RailCo Revolver taken in November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$20.3 million during the three months ended March 31, 2026 primarily due to the activity noted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640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18,569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8,109</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19,449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7,869</w:t>
            </w:r>
          </w:p>
        </w:tc>
        <w:tc>
          <w:tcPr>
            <w:tcW w:w="0" w:type="dxa"/>
            <w:vAlign w:val="bottom"/>
          </w:tcPr>
          <w:p>
            <w:pPr>
              <w:spacing w:after="0"/>
              <w:rPr>
                <w:sz w:val="1"/>
                <w:szCs w:val="1"/>
                <w:color w:val="auto"/>
              </w:rPr>
            </w:pPr>
          </w:p>
        </w:tc>
      </w:tr>
      <w:tr>
        <w:trPr>
          <w:trHeight w:val="251"/>
        </w:trPr>
        <w:tc>
          <w:tcPr>
            <w:tcW w:w="7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7,719</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11,987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37,800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8,467</w:t>
            </w:r>
          </w:p>
        </w:tc>
        <w:tc>
          <w:tcPr>
            <w:tcW w:w="0" w:type="dxa"/>
            <w:vAlign w:val="bottom"/>
          </w:tcPr>
          <w:p>
            <w:pPr>
              <w:spacing w:after="0"/>
              <w:rPr>
                <w:sz w:val="1"/>
                <w:szCs w:val="1"/>
                <w:color w:val="auto"/>
              </w:rPr>
            </w:pPr>
          </w:p>
        </w:tc>
      </w:tr>
      <w:tr>
        <w:trPr>
          <w:trHeight w:val="251"/>
        </w:trPr>
        <w:tc>
          <w:tcPr>
            <w:tcW w:w="7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(6,422)</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(16,235)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(16,624)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(21,857)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(6,339)</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(13,679)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130"/>
        </w:trPr>
        <w:tc>
          <w:tcPr>
            <w:tcW w:w="7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attributable to stockholders, before series B preferred stock dividend and loss on extinguishment of</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(18,872)</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(15,128)</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(3,744)</w:t>
            </w:r>
          </w:p>
        </w:tc>
        <w:tc>
          <w:tcPr>
            <w:tcW w:w="0" w:type="dxa"/>
            <w:vAlign w:val="bottom"/>
          </w:tcPr>
          <w:p>
            <w:pPr>
              <w:spacing w:after="0"/>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9" w:name="page40"/>
    <w:bookmarkEnd w:id="39"/>
    <w:p>
      <w:pPr>
        <w:spacing w:after="0" w:line="286" w:lineRule="auto"/>
        <w:rPr>
          <w:sz w:val="20"/>
          <w:szCs w:val="20"/>
          <w:color w:val="auto"/>
        </w:rPr>
      </w:pPr>
      <w:r>
        <w:rPr>
          <w:rFonts w:ascii="Arial" w:cs="Arial" w:eastAsia="Arial" w:hAnsi="Arial"/>
          <w:sz w:val="16"/>
          <w:szCs w:val="16"/>
          <w:color w:val="auto"/>
        </w:rPr>
        <w:t>The following table sets forth a reconciliation of net loss attributable to stockholders to Adjusted EBITDA, before series B preferred stock dividend and loss on extinguishment of preferred stock to Adjusted EBITDA: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0"/>
        </w:trPr>
        <w:tc>
          <w:tcPr>
            <w:tcW w:w="7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attributable to stockholders, before series B preferred stock dividend and loss on extinguishment of</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(18,872)</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(15,128)</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(3,744)</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6,745</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6,422</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16,235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16,624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Other non-recurring items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14,437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31" w:lineRule="exact"/>
        <w:rPr>
          <w:sz w:val="20"/>
          <w:szCs w:val="20"/>
          <w:color w:val="auto"/>
        </w:rPr>
      </w:pPr>
    </w:p>
    <w:p>
      <w:pPr>
        <w:ind w:left="180" w:hanging="172"/>
        <w:spacing w:after="0" w:line="231" w:lineRule="auto"/>
        <w:tabs>
          <w:tab w:leader="none" w:pos="188"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2026 and 2025: (i) depreciation and amortization expense of $11,987 and $11,240 and (ii) capitalized contract costs amortization of $1,233 and $1,233, respectively.</w:t>
      </w:r>
    </w:p>
    <w:p>
      <w:pPr>
        <w:spacing w:after="0" w:line="80" w:lineRule="exact"/>
        <w:rPr>
          <w:rFonts w:ascii="Arial" w:cs="Arial" w:eastAsia="Arial" w:hAnsi="Arial"/>
          <w:sz w:val="19"/>
          <w:szCs w:val="19"/>
          <w:color w:val="auto"/>
          <w:vertAlign w:val="superscript"/>
        </w:rPr>
      </w:pPr>
    </w:p>
    <w:p>
      <w:pPr>
        <w:jc w:val="both"/>
        <w:ind w:left="180" w:hanging="172"/>
        <w:spacing w:after="0" w:line="283" w:lineRule="auto"/>
        <w:tabs>
          <w:tab w:leader="none" w:pos="174"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2026 and 2025: (i) equity-based compensation expense of $1,679 and $118, (ii) provision for income taxes of $49 and $98, (iii) interest expense of $3,761 and $3,849, (iv) depreciation and amortization expense of $3,062 and $2,889 and (v) losses on the modification or extinguishment of debt of $1,489 and $2,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$7.9 million during the three months ended March 31, 2026 due to an increase in average crude product throughput volumes.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$8.5 million during the three months ended March 31, 2026, which primarily reflects:</w:t>
      </w:r>
    </w:p>
    <w:p>
      <w:pPr>
        <w:spacing w:after="0" w:line="113" w:lineRule="exact"/>
        <w:rPr>
          <w:sz w:val="20"/>
          <w:szCs w:val="20"/>
          <w:color w:val="auto"/>
        </w:rPr>
      </w:pPr>
    </w:p>
    <w:p>
      <w:pPr>
        <w:ind w:left="660" w:hanging="328"/>
        <w:spacing w:after="0" w:line="28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operating expenses of $7.7 million primarily due to costs associated with stock-based compensation and costs associated with increased terminal throughput activity; and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depreciation and amortization of $0.7 million due to additional assets being placed into service.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Total other expense increased $6.0 million during the three months ended March 31, 2026, which primarily reflects an increase in loss on modification or extinguishment of debt of $6.4 million related to a current quarter loss on extinguishment of the June 2025 Jefferson Credit Agreement.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$6.5 million during the three months ended March 31, 2026 primarily due to the changes noted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00497F"/>
        </w:rPr>
        <w:t>Repauno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1,208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3,810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(2,602)</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1,208</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238"/>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8,889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51"/>
        </w:trPr>
        <w:tc>
          <w:tcPr>
            <w:tcW w:w="7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9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(8,556)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(8,556)</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(7,197)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28"/>
        </w:trPr>
        <w:tc>
          <w:tcPr>
            <w:tcW w:w="78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loss attributable to stockholders, before series B preferred stock dividend and loss on extinguishment of</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(8,165)</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(6,793)</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67"/>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ind w:right="200"/>
        <w:spacing w:after="0" w:line="286" w:lineRule="auto"/>
        <w:rPr>
          <w:sz w:val="20"/>
          <w:szCs w:val="20"/>
          <w:color w:val="auto"/>
        </w:rPr>
      </w:pPr>
      <w:r>
        <w:rPr>
          <w:rFonts w:ascii="Arial" w:cs="Arial" w:eastAsia="Arial" w:hAnsi="Arial"/>
          <w:sz w:val="16"/>
          <w:szCs w:val="16"/>
          <w:color w:val="auto"/>
        </w:rPr>
        <w:t>The following table sets forth a reconciliation of net loss attributable to stockholders to Adjusted EBITDA, before series B preferred stock dividend and loss on extinguishment of preferred stock to Adjusted EBITDA: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0"/>
        </w:trPr>
        <w:tc>
          <w:tcPr>
            <w:tcW w:w="7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attributable to stockholders, before series B preferred stock dividend and loss on extinguishment of</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(8,165)</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(6,793)</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Other non-recurring items </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5"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2025: (i) incidental utility rebillings of $650 and (ii) loss on inventory heel of $385.</w:t>
      </w:r>
    </w:p>
    <w:p>
      <w:pPr>
        <w:spacing w:after="0" w:line="62"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2026 and 2025: (i) equity-based compensation expense of $73 and $18, (ii) provision for income taxes of $</w:t>
      </w:r>
    </w:p>
    <w:p>
      <w:pPr>
        <w:ind w:left="180"/>
        <w:spacing w:after="0"/>
        <w:rPr>
          <w:rFonts w:ascii="Arial" w:cs="Arial" w:eastAsia="Arial" w:hAnsi="Arial"/>
          <w:sz w:val="18"/>
          <w:szCs w:val="18"/>
          <w:color w:val="auto"/>
          <w:vertAlign w:val="superscript"/>
        </w:rPr>
      </w:pPr>
      <w:r>
        <w:rPr>
          <w:rFonts w:ascii="Arial" w:cs="Arial" w:eastAsia="Arial" w:hAnsi="Arial"/>
          <w:sz w:val="14"/>
          <w:szCs w:val="14"/>
          <w:color w:val="auto"/>
        </w:rPr>
        <w:t>— and $1, (iii) interest expense of $90 and $90, (iv) depreciation and amortization expense of $119 and $149, (v) asset impairment charges of $— and $19 and (vi) other non-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recurring items of $— and $61,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Total revenues decreased $2.6 million during the three months ended March 31, 2026 primarily due to lower volumes stemming from the terminal’s current butane contract compared to the prior period contract that ended in March 2025.</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other expense decreased $0.6 million during the three months ended March 31, 2026, which primarily reflects an increase in other income of $1.1 million from the interest on the Series 2025 Bond funds, partially offset by an increase in interest expense of $0.4 million related to additional borrowings under the Series 2025 Bonds and DRP DB Term Loan in May 2025.</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$0.9 million during the three months ended March 31, 2026 primarily due to the changes noted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00497F"/>
        </w:rPr>
        <w:t>Power and Gas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 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29,848</w:t>
            </w:r>
          </w:p>
        </w:tc>
        <w:tc>
          <w:tcPr>
            <w:tcW w:w="0" w:type="dxa"/>
            <w:vAlign w:val="bottom"/>
          </w:tcPr>
          <w:p>
            <w:pPr>
              <w:spacing w:after="0"/>
              <w:rPr>
                <w:sz w:val="1"/>
                <w:szCs w:val="1"/>
                <w:color w:val="auto"/>
              </w:rPr>
            </w:pPr>
          </w:p>
        </w:tc>
      </w:tr>
      <w:tr>
        <w:trPr>
          <w:trHeight w:val="20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Gas revenues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15,956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14,768</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62,006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17,294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44,712</w:t>
            </w:r>
          </w:p>
        </w:tc>
        <w:tc>
          <w:tcPr>
            <w:tcW w:w="0" w:type="dxa"/>
            <w:vAlign w:val="bottom"/>
          </w:tcPr>
          <w:p>
            <w:pPr>
              <w:spacing w:after="0"/>
              <w:rPr>
                <w:sz w:val="1"/>
                <w:szCs w:val="1"/>
                <w:color w:val="auto"/>
              </w:rPr>
            </w:pPr>
          </w:p>
        </w:tc>
      </w:tr>
      <w:tr>
        <w:trPr>
          <w:trHeight w:val="251"/>
        </w:trPr>
        <w:tc>
          <w:tcPr>
            <w:tcW w:w="7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27,775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21,464</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16,376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10,286</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44,952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31,482</w:t>
            </w:r>
          </w:p>
        </w:tc>
        <w:tc>
          <w:tcPr>
            <w:tcW w:w="0" w:type="dxa"/>
            <w:vAlign w:val="bottom"/>
          </w:tcPr>
          <w:p>
            <w:pPr>
              <w:spacing w:after="0"/>
              <w:rPr>
                <w:sz w:val="1"/>
                <w:szCs w:val="1"/>
                <w:color w:val="auto"/>
              </w:rPr>
            </w:pPr>
          </w:p>
        </w:tc>
      </w:tr>
      <w:tr>
        <w:trPr>
          <w:trHeight w:val="251"/>
        </w:trPr>
        <w:tc>
          <w:tcPr>
            <w:tcW w:w="7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Equity in earnings of unconsolidated entities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(10,588)</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 assets, net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(120,525)</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(23,666)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(14,649)</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(22,271)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123,763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(146,034)</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(132,804)</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Benefit from income taxes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(42,457)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42,457</w:t>
            </w:r>
          </w:p>
        </w:tc>
        <w:tc>
          <w:tcPr>
            <w:tcW w:w="0" w:type="dxa"/>
            <w:vAlign w:val="bottom"/>
          </w:tcPr>
          <w:p>
            <w:pPr>
              <w:spacing w:after="0"/>
              <w:rPr>
                <w:sz w:val="1"/>
                <w:szCs w:val="1"/>
                <w:color w:val="auto"/>
              </w:rPr>
            </w:pPr>
          </w:p>
        </w:tc>
      </w:tr>
      <w:tr>
        <w:trPr>
          <w:trHeight w:val="19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170,044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(175,261)</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0"/>
        </w:trPr>
        <w:tc>
          <w:tcPr>
            <w:tcW w:w="7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income attributable to stockholders, before series B preferred stock dividend and loss on</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(5,171)</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170,044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(175,215)</w:t>
            </w:r>
          </w:p>
        </w:tc>
        <w:tc>
          <w:tcPr>
            <w:tcW w:w="0" w:type="dxa"/>
            <w:vAlign w:val="bottom"/>
          </w:tcPr>
          <w:p>
            <w:pPr>
              <w:spacing w:after="0"/>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extinguishment of preferred stock</w:t>
            </w: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spacing w:after="0" w:line="286" w:lineRule="auto"/>
        <w:rPr>
          <w:sz w:val="20"/>
          <w:szCs w:val="20"/>
          <w:color w:val="auto"/>
        </w:rPr>
      </w:pPr>
      <w:r>
        <w:rPr>
          <w:rFonts w:ascii="Arial" w:cs="Arial" w:eastAsia="Arial" w:hAnsi="Arial"/>
          <w:sz w:val="16"/>
          <w:szCs w:val="16"/>
          <w:color w:val="auto"/>
        </w:rPr>
        <w:t>The following table sets forth a reconciliation of net (loss) income attributable to stockholders to Adjusted EBITDA, before series B preferred stock dividend and loss on extinguishment of preferred stock to Adjusted EBITDA: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0"/>
        </w:trPr>
        <w:tc>
          <w:tcPr>
            <w:tcW w:w="7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income attributable to stockholders, before series B preferred stock dividend and loss on</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(5,171)</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170,044</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(175,215)</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extinguishment of preferred stock</w:t>
            </w: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(42,457)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42,457</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23,666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14,649</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(6,503)</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Other non-recurring items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10,588</w:t>
            </w: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21"/>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138,090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(111,679)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58" w:lineRule="exact"/>
        <w:rPr>
          <w:sz w:val="20"/>
          <w:szCs w:val="20"/>
          <w:color w:val="auto"/>
        </w:rPr>
      </w:pPr>
    </w:p>
    <w:p>
      <w:pPr>
        <w:ind w:left="180" w:hanging="172"/>
        <w:spacing w:after="0" w:line="239" w:lineRule="auto"/>
        <w:tabs>
          <w:tab w:leader="none" w:pos="179"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2026 and 2025: (i) depreciation and amortization expense of $16,376 and $6,090 and (ii) amortization of other comprehensive income of $(10,236) and $(1,588), respectively.</w:t>
      </w:r>
    </w:p>
    <w:p>
      <w:pPr>
        <w:spacing w:after="0" w:line="94" w:lineRule="exact"/>
        <w:rPr>
          <w:rFonts w:ascii="Arial" w:cs="Arial" w:eastAsia="Arial" w:hAnsi="Arial"/>
          <w:sz w:val="19"/>
          <w:szCs w:val="19"/>
          <w:color w:val="auto"/>
          <w:vertAlign w:val="superscript"/>
        </w:rPr>
      </w:pPr>
    </w:p>
    <w:p>
      <w:pPr>
        <w:jc w:val="both"/>
        <w:ind w:left="180" w:hanging="172"/>
        <w:spacing w:after="0" w:line="249" w:lineRule="auto"/>
        <w:tabs>
          <w:tab w:leader="none" w:pos="173"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2026 and 2025: (i) net income of $— and $10,576, (ii) interest expense of $— and $6,352, (iii) depreciation and amortization expense of $— and $2,185, (iv) acquisition and transaction expenses of $— and $201, (v) changes in fair value of non-hedge derivative instruments of $— and $(12,822), (vi) equity method basis adjustments of $— and $10 and (vii) other non-recurring items of $— and $1, respectively.</w:t>
      </w:r>
    </w:p>
    <w:p>
      <w:pPr>
        <w:spacing w:after="0" w:line="100" w:lineRule="exact"/>
        <w:rPr>
          <w:rFonts w:ascii="Arial" w:cs="Arial" w:eastAsia="Arial" w:hAnsi="Arial"/>
          <w:sz w:val="19"/>
          <w:szCs w:val="19"/>
          <w:color w:val="auto"/>
          <w:vertAlign w:val="superscript"/>
        </w:rPr>
      </w:pPr>
    </w:p>
    <w:p>
      <w:pPr>
        <w:jc w:val="both"/>
        <w:ind w:left="180" w:hanging="172"/>
        <w:spacing w:after="0" w:line="283" w:lineRule="auto"/>
        <w:tabs>
          <w:tab w:leader="none" w:pos="173"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2026 and 2025: (i) equity-based compensation expense of $13 and $—, (ii) interest expense of $194 and $ —, (iii) depreciation and amortization expense of $50 and $—, (iv) acquisition and transaction expenses of $7 and $— and (v) changes in fair value of non-hedge derivative instruments of $(4) and $—,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Total revenues increased $44.7 million during the three months ended March 31, 2026 primarily due to an increase in power plant revenue as well as an increase in gas revenues as a result of the acquisition of 100% of Long Ridge in February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$31.5 million during the three months ended March 31, 2026, which primarily reflects:</w:t>
      </w:r>
    </w:p>
    <w:p>
      <w:pPr>
        <w:spacing w:after="0" w:line="113" w:lineRule="exact"/>
        <w:rPr>
          <w:sz w:val="20"/>
          <w:szCs w:val="20"/>
          <w:color w:val="auto"/>
        </w:rPr>
      </w:pPr>
    </w:p>
    <w:p>
      <w:pPr>
        <w:ind w:left="660" w:right="20" w:hanging="328"/>
        <w:spacing w:after="0" w:line="304"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increase in operating expenses of $21.5 million primarily related to increased Ohio GasCo LLC and Long Ridge West Virginia LLC well operations, increased legal expenses and full inclusion of operating expenses after the acquisition of 100% of Long Ridge in February 2025; and</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increase in depreciation and amortization expense of $10.3 million related to depreciation expense at the Terminal and Power Plant businesses as a result of the acquisition of 100% of Long Ridge during February 2025.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increased $146.0 million during the three months ended March 31, 2026, which reflects:</w:t>
      </w:r>
    </w:p>
    <w:p>
      <w:pPr>
        <w:spacing w:after="0" w:line="127"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in interest expense of $14.6 million related to interest expense on the Long Ridge debt that is now consolidated;</w:t>
      </w:r>
    </w:p>
    <w:p>
      <w:pPr>
        <w:spacing w:after="0" w:line="113"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decrease in gain on sale of assets, net of $120.5 million due to a gain recognized in the prior year on the acquisition of 100% of Long Ridge in February 2025; and</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decrease in equity in earnings of unconsolidated entities of $10.6 million primarily due to the equity pickup of Long Ridge Energy &amp; Power LLC net earnings in the prior year that were not recognized in the current quarter since 100% of</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6"/>
          <w:szCs w:val="16"/>
          <w:color w:val="auto"/>
        </w:rPr>
        <w:t>Long Ridge Energy &amp; Power LLC was acquired in February 2025, and therefore no equity pickup was recorded after the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Benefit from income taxes</w:t>
      </w:r>
    </w:p>
    <w:p>
      <w:pPr>
        <w:spacing w:after="0" w:line="13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Benefit from income taxes decreased $42.5 million during the three months ended March 31, 2026 primarily due to the partial release of the valuation allowance in connection with the acquisition of Long Ridge Energy &amp; Power LLC in February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$111.7 million during the three months ended March 31, 2026 primarily due to the changes noted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Sustainability and Energy Transition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78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4,806</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5,204</w:t>
            </w:r>
          </w:p>
        </w:tc>
        <w:tc>
          <w:tcPr>
            <w:tcW w:w="0" w:type="dxa"/>
            <w:vAlign w:val="bottom"/>
          </w:tcPr>
          <w:p>
            <w:pPr>
              <w:spacing w:after="0"/>
              <w:rPr>
                <w:sz w:val="1"/>
                <w:szCs w:val="1"/>
                <w:color w:val="auto"/>
              </w:rPr>
            </w:pPr>
          </w:p>
        </w:tc>
      </w:tr>
      <w:tr>
        <w:trPr>
          <w:trHeight w:val="130"/>
        </w:trPr>
        <w:tc>
          <w:tcPr>
            <w:tcW w:w="7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income (loss) attributable to stockholders, before series B preferred stock dividend and loss on</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(4,985)</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5,204</w:t>
            </w:r>
          </w:p>
        </w:tc>
        <w:tc>
          <w:tcPr>
            <w:tcW w:w="0" w:type="dxa"/>
            <w:vAlign w:val="bottom"/>
          </w:tcPr>
          <w:p>
            <w:pPr>
              <w:spacing w:after="0"/>
              <w:rPr>
                <w:sz w:val="1"/>
                <w:szCs w:val="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extinguishment of preferred stock</w:t>
            </w: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following table sets forth a reconciliation of net income (loss) attributable to stockholders to Adjusted EBITDA, before series B preferred stock dividend and loss on extinguishment of preferred stock to Adjusted EBITDA: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4"/>
        </w:trPr>
        <w:tc>
          <w:tcPr>
            <w:tcW w:w="786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Net income (loss) attributable to stockholders, before series B preferred stock dividend and loss on</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(4,985)</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5,204</w:t>
            </w:r>
          </w:p>
        </w:tc>
        <w:tc>
          <w:tcPr>
            <w:tcW w:w="0" w:type="dxa"/>
            <w:vAlign w:val="bottom"/>
          </w:tcPr>
          <w:p>
            <w:pPr>
              <w:spacing w:after="0"/>
              <w:rPr>
                <w:sz w:val="1"/>
                <w:szCs w:val="1"/>
                <w:color w:val="auto"/>
              </w:rPr>
            </w:pPr>
          </w:p>
        </w:tc>
      </w:tr>
      <w:tr>
        <w:trPr>
          <w:trHeight w:val="18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extinguishment of preferred stock</w:t>
            </w: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Other non-recurring items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(4,806)</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80" w:hanging="172"/>
        <w:spacing w:after="0" w:line="293" w:lineRule="auto"/>
        <w:tabs>
          <w:tab w:leader="none" w:pos="193" w:val="left"/>
        </w:tabs>
        <w:numPr>
          <w:ilvl w:val="0"/>
          <w:numId w:val="25"/>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2026 and 2025: (i) net loss of $(518) and $(3,948), (ii) interest expense of $— and $1,284 and (iii) depreciation and amortization expense of $— and $699, respectively</w:t>
      </w:r>
      <w:r>
        <w:rPr>
          <w:rFonts w:ascii="Times New Roman" w:cs="Times New Roman" w:eastAsia="Times New Roman" w:hAnsi="Times New Roman"/>
          <w:sz w:val="17"/>
          <w:szCs w:val="17"/>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2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Total other income increased $5.2 million during the three months ended March 31, 2026, which reflects changes in equity in losses of unconsolidated entities primarily due to lower operating losses at GM-FTAI Holdco LLC.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$1.8 million during the three months ended March 31, 2026 primarily due to the changes noted above.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Corporate and Other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Roadside services revenues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12,554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38"/>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26,051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3,223</w:t>
            </w:r>
          </w:p>
        </w:tc>
        <w:tc>
          <w:tcPr>
            <w:tcW w:w="0" w:type="dxa"/>
            <w:vAlign w:val="bottom"/>
          </w:tcPr>
          <w:p>
            <w:pPr>
              <w:spacing w:after="0"/>
              <w:rPr>
                <w:sz w:val="1"/>
                <w:szCs w:val="1"/>
                <w:color w:val="auto"/>
              </w:rPr>
            </w:pPr>
          </w:p>
        </w:tc>
      </w:tr>
      <w:tr>
        <w:trPr>
          <w:trHeight w:val="251"/>
        </w:trPr>
        <w:tc>
          <w:tcPr>
            <w:tcW w:w="7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entities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(39,485)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(39,485)</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(23,322)</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9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(79,711)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(15,764)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(63,947)</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(92,938)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(25,616)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(67,322)</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(92,951)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(67,639)</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Less: Dividends and accretion of redeemable preferred stock</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21,841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(21,841)</w:t>
            </w:r>
          </w:p>
        </w:tc>
        <w:tc>
          <w:tcPr>
            <w:tcW w:w="0" w:type="dxa"/>
            <w:vAlign w:val="bottom"/>
          </w:tcPr>
          <w:p>
            <w:pPr>
              <w:spacing w:after="0"/>
              <w:rPr>
                <w:sz w:val="1"/>
                <w:szCs w:val="1"/>
                <w:color w:val="auto"/>
              </w:rPr>
            </w:pPr>
          </w:p>
        </w:tc>
      </w:tr>
      <w:tr>
        <w:trPr>
          <w:trHeight w:val="134"/>
        </w:trPr>
        <w:tc>
          <w:tcPr>
            <w:tcW w:w="786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Net loss attributable to stockholders, before series B preferred stock dividend and loss on extinguishment of</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(92,969)</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(47,153)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(45,816)</w:t>
            </w:r>
          </w:p>
        </w:tc>
        <w:tc>
          <w:tcPr>
            <w:tcW w:w="0" w:type="dxa"/>
            <w:vAlign w:val="bottom"/>
          </w:tcPr>
          <w:p>
            <w:pPr>
              <w:spacing w:after="0"/>
              <w:rPr>
                <w:sz w:val="1"/>
                <w:szCs w:val="1"/>
                <w:color w:val="auto"/>
              </w:rPr>
            </w:pPr>
          </w:p>
        </w:tc>
      </w:tr>
      <w:tr>
        <w:trPr>
          <w:trHeight w:val="178"/>
        </w:trPr>
        <w:tc>
          <w:tcPr>
            <w:tcW w:w="786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preferred stock</w:t>
            </w: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6" w:name="page47"/>
    <w:bookmarkEnd w:id="46"/>
    <w:p>
      <w:pPr>
        <w:spacing w:after="0" w:line="286" w:lineRule="auto"/>
        <w:rPr>
          <w:sz w:val="20"/>
          <w:szCs w:val="20"/>
          <w:color w:val="auto"/>
        </w:rPr>
      </w:pPr>
      <w:r>
        <w:rPr>
          <w:rFonts w:ascii="Arial" w:cs="Arial" w:eastAsia="Arial" w:hAnsi="Arial"/>
          <w:sz w:val="16"/>
          <w:szCs w:val="16"/>
          <w:color w:val="auto"/>
        </w:rPr>
        <w:t>The following table sets forth a reconciliation of net loss attributable to stockholders, before series B preferred stock dividend and loss on extinguishment of preferred stock to Adjusted EBITDA: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7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attributable to stockholders, before series B preferred stock dividend and loss on extinguishment of</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(92,969)</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(47,153)</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(45,816)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39,485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39,485</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39,136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23,322</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21,841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(21,841)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Other non-recurring items </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1"/>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5"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2026 and 2025: (i) net loss of $— and $(50) and (ii) interest expense of $— and $12, respectively.</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2026: unrealized loss on investment of $1,190.</w:t>
      </w:r>
    </w:p>
    <w:p>
      <w:pPr>
        <w:spacing w:after="0" w:line="79" w:lineRule="exact"/>
        <w:rPr>
          <w:rFonts w:ascii="Arial" w:cs="Arial" w:eastAsia="Arial" w:hAnsi="Arial"/>
          <w:sz w:val="18"/>
          <w:szCs w:val="18"/>
          <w:color w:val="auto"/>
          <w:vertAlign w:val="superscript"/>
        </w:rPr>
      </w:pPr>
    </w:p>
    <w:p>
      <w:pPr>
        <w:ind w:left="180" w:right="20" w:hanging="172"/>
        <w:spacing w:after="0" w:line="305" w:lineRule="auto"/>
        <w:tabs>
          <w:tab w:leader="none" w:pos="174" w:val="left"/>
        </w:tabs>
        <w:numPr>
          <w:ilvl w:val="0"/>
          <w:numId w:val="26"/>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2026 and 2025: (i) equity-based compensation expense of $5 and $—, (ii) provision for income taxes of $1 and $— and (iii) depreciation and amortization expense of $8 and $—,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Total expenses increased $3.2 million during the three months ended March 31, 2026, which primarily reflects an increase in acquisition and transaction expenses of $2.4 million primarily due to costs incurred with debt refinancing activities and professional fees related to the Wheeling acquisition.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Total other expense increased $63.9 million during the three months ended March 31, 2026 primarily due to (i) loss on extinguishment of the Bridge Loan Credit Agreement during the current quarter and (ii) an increase in interest expense due to additional borrowings under the Term Loan Credit Agreement during the quarter.</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$0.7 million during the three months ended March 31, 2026 primarily due to the changes noted above.</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quarter, we have (i) refinanced the Bridge Loan Credit Agreement with the Term Loan Credit Agreement (see Note 7 for additional details), (ii) paid down the Jefferson June 2025 Credit Agreement and (iii) entered into a binding Commitment Agreement (the “Backstop Agreement”) dated March 16, 2026, pursuant to which we may, at our sole option, on or prior to July 1, 2026, elect to borrow from a lender funds in an aggregate principal amount of $255.0 million pursuant to a bridge facility that will have a maturity date which is 364 days after the close of such bridge facility (see Note 7 for additional details). However, the Company has significant remaining debt obligations, which it continues to actively manage. The planned sale of Long Ridge will further improve the Company’s liquidity position and reduce our total debt (see Note 18 for additional details). Management’s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7" w:name="page48"/>
    <w:bookmarkEnd w:id="47"/>
    <w:p>
      <w:pPr>
        <w:spacing w:after="0" w:line="286" w:lineRule="auto"/>
        <w:rPr>
          <w:sz w:val="20"/>
          <w:szCs w:val="20"/>
          <w:color w:val="auto"/>
        </w:rPr>
      </w:pPr>
      <w:r>
        <w:rPr>
          <w:rFonts w:ascii="Arial" w:cs="Arial" w:eastAsia="Arial" w:hAnsi="Arial"/>
          <w:sz w:val="16"/>
          <w:szCs w:val="16"/>
          <w:color w:val="auto"/>
        </w:rPr>
        <w:t>planned actions, including the sale of Long Ridge, are considered probable to be implemented and to provide sufficient liquidity for the Company to meet its obligations as they become due over the twelve months from the date the financial statements were issued.</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principal uses of liquidity have been and continue to be (i) acquisitions of and investments in infrastructure assets, (ii) expenses associated with our operating activities and (iii) debt service obligations associated with our investments.</w:t>
      </w:r>
    </w:p>
    <w:p>
      <w:pPr>
        <w:spacing w:after="0" w:line="61"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Cash used for investing activities was $44.8 million and $164.3 million during the three months ended March 31, 2026 and 2025, respectively.</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Uses of liquidity associated with our operating and interest expenses are captured on a net basis in our cash flows from operating activities. Uses of liquidity associated with our debt obligations are captured in our cash flows from financing activities.</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principal sources of liquidity to fund these uses have been and continue to be (i) cash and restricted cash on hand as of March 31, 2026, (ii) revenues from our infrastructure business net of operating expenses, (iii) proceeds from borrowings and (iv) opportunistic sales of assets or investments.</w:t>
      </w:r>
    </w:p>
    <w:p>
      <w:pPr>
        <w:spacing w:after="0" w:line="61"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flows used in operating activities were $69.4 million and $85.7 million during the three months ended March 31, 2026 and 2025, respectively.</w:t>
      </w:r>
    </w:p>
    <w:p>
      <w:pPr>
        <w:spacing w:after="0" w:line="113"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28"/>
        </w:numPr>
        <w:rPr>
          <w:rFonts w:ascii="Arial" w:cs="Arial" w:eastAsia="Arial" w:hAnsi="Arial"/>
          <w:sz w:val="16"/>
          <w:szCs w:val="16"/>
          <w:color w:val="00497F"/>
        </w:rPr>
      </w:pPr>
      <w:r>
        <w:rPr>
          <w:rFonts w:ascii="Arial" w:cs="Arial" w:eastAsia="Arial" w:hAnsi="Arial"/>
          <w:sz w:val="16"/>
          <w:szCs w:val="16"/>
          <w:color w:val="auto"/>
        </w:rPr>
        <w:t>During the three months ended March 31, 2026, additional borrowings were obtained in connection with the Term Loan Credit Agreement of $1.35 billion. In February 2026, we used a portion of the net proceeds from the Term Loan Credit Agreement to repay the Bridge Loan Credit Agreement of $1.25 million. In March 2026, we also used a portion of the net proceeds from the Term Loan Credit Agreement to repay the June 2025 Jefferson Credit Agreement of $30.0 million.</w:t>
      </w:r>
    </w:p>
    <w:p>
      <w:pPr>
        <w:spacing w:after="0" w:line="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currently evaluating several potential transactions and related financings, including, but not limited to, providing for increased debt capacity at certain of our subsidiaries, which could occur within the next 12 months. None of these transactions, negotiations or financings are definitive or included within our planned liquidity needs. We cannot assure if or when any such transaction will be consummated or the terms of any such transaction. In addition, from time to time, we may seek to repay, refinance or restructure all or a portion of our debt or to repurchase or repay our outstanding debt through, as applicable, tender offers, exchange offers, open market purchases, privately negotiated transactions or otherwise. Such transactions, if any, will depend on a number of factors, including prevailing market conditions, our liquidity requirements and contractual requirements (including compliance with the terms of our debt agreements), among other factors. Our restricted cash and cash equivalents are available to finance construction projects, as well as meet debt service obligations.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2026 and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three months ended March 31, 2026 and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2"/>
        </w:trPr>
        <w:tc>
          <w:tcPr>
            <w:tcW w:w="798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center"/>
              <w:ind w:left="568"/>
              <w:spacing w:after="0"/>
              <w:rPr>
                <w:sz w:val="20"/>
                <w:szCs w:val="20"/>
                <w:color w:val="auto"/>
              </w:rPr>
            </w:pPr>
            <w:r>
              <w:rPr>
                <w:rFonts w:ascii="Arial" w:cs="Arial" w:eastAsia="Arial" w:hAnsi="Arial"/>
                <w:sz w:val="14"/>
                <w:szCs w:val="14"/>
                <w:b w:val="1"/>
                <w:bCs w:val="1"/>
                <w:color w:val="auto"/>
              </w:rPr>
              <w:t>(69,377)</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(85,651)</w:t>
            </w:r>
          </w:p>
        </w:tc>
      </w:t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568"/>
              <w:spacing w:after="0"/>
              <w:rPr>
                <w:sz w:val="20"/>
                <w:szCs w:val="20"/>
                <w:color w:val="auto"/>
              </w:rPr>
            </w:pPr>
            <w:r>
              <w:rPr>
                <w:rFonts w:ascii="Arial" w:cs="Arial" w:eastAsia="Arial" w:hAnsi="Arial"/>
                <w:sz w:val="14"/>
                <w:szCs w:val="14"/>
                <w:b w:val="1"/>
                <w:bCs w:val="1"/>
                <w:color w:val="auto"/>
              </w:rPr>
              <w:t>(44,755)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164,299</w:t>
            </w:r>
          </w:p>
        </w:tc>
      </w:tr>
      <w:tr>
        <w:trPr>
          <w:trHeight w:val="201"/>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Pr>
          <w:p>
            <w:pPr>
              <w:spacing w:after="0"/>
              <w:rPr>
                <w:sz w:val="17"/>
                <w:szCs w:val="17"/>
                <w:color w:val="auto"/>
              </w:rPr>
            </w:pPr>
          </w:p>
        </w:tc>
        <w:tc>
          <w:tcPr>
            <w:tcW w:w="1260" w:type="dxa"/>
            <w:vAlign w:val="bottom"/>
          </w:tcPr>
          <w:p>
            <w:pPr>
              <w:jc w:val="center"/>
              <w:ind w:left="588"/>
              <w:spacing w:after="0"/>
              <w:rPr>
                <w:sz w:val="20"/>
                <w:szCs w:val="20"/>
                <w:color w:val="auto"/>
              </w:rPr>
            </w:pPr>
            <w:r>
              <w:rPr>
                <w:rFonts w:ascii="Arial" w:cs="Arial" w:eastAsia="Arial" w:hAnsi="Arial"/>
                <w:sz w:val="14"/>
                <w:szCs w:val="14"/>
                <w:b w:val="1"/>
                <w:bCs w:val="1"/>
                <w:color w:val="auto"/>
              </w:rPr>
              <w:t>15,617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(2,537)</w:t>
            </w:r>
          </w:p>
        </w:tc>
      </w:tr>
    </w:tbl>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cash used in operating activities decreased $16.3 million, which primarily reflects certain adjustments to reconcile net loss to cash used in operating activities including (i) an increase in equity in losses of unconsolidated entities of $5.8 million, (ii) changes in working capital of $7.4 million, (iii) a decrease in gain on sale of subsidiaries of $120.0 million, (iv) changes in deferred income taxes of $43.4 million, (v) an increase in depreciation and amortization of $25.7 million, (vi) an increase in loss on modification or extinguishment of debt of $45.9 million, (vii) an increase in amortization of bond discount of $10.3 million, (viii) an increase in amortization of deferred financing costs of $1.0 million and (ix) an increase in equity-based compensation of $9.7 million, partially offset by (i) an increase in amortization of other comprehensive income of $8.6 million and (ii) an increase in net loss of $247.4 million.</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used in investing activities increased $209.1 million, primarily due to (i) a decrease in the acquisition of business of $226.6 million and (ii) a decrease in proceeds from investor loan of $11.0 million, partially offset by (i) an increase in proceeds from the sale of property, plant and equipment of $8.8 million and (ii) a decrease in the acquisition of property, plant and equipment of $20.1 million.</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Net cash provided by financing activities increased $18.2 million, primarily due to (i) a decrease in the payment of cash dividends on preferred stock of $25.5 million, (ii) an increase in proceeds from debt of $1.3 billion and (iii) an increase in proceeds from financing obligation of $50.0 million, partially offset by (i) an increase in repayment of debt of $1.3 billion, (ii) an increase in payment of financing costs of $10.3 million, (iii) an increase in cash dividends paid for redeemable preferred stock - NCI of $5.0 million and (iv) an increase in settlement of equity-based compensation of $2.3 million.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00497F"/>
        </w:rPr>
        <w:t>Debt Obligations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of the consolidated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color w:val="00497F"/>
        </w:rPr>
        <w:t>—</w:t>
      </w:r>
      <w:r>
        <w:rPr>
          <w:rFonts w:ascii="Arial" w:cs="Arial" w:eastAsia="Arial" w:hAnsi="Arial"/>
          <w:sz w:val="16"/>
          <w:szCs w:val="16"/>
          <w:color w:val="000000"/>
        </w:rPr>
        <w:t>As of March 31, 2026, we had outstanding principal and interest payment obligations of $3.9 billion and $1.4 billion, respectively,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which, there are $25.4 million of principal payments due and $302.5 million of interest payments due within the next twelve months. As of March 31, 2026, we had $37.1 million of unused borrowing capacity. See Note 7 to the consolidated financial statements for additional information about our debt obligations.</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color w:val="000000"/>
        </w:rPr>
        <w:t>—As of March 31, 2026, we had outstanding operating and finance lease obligations of $366.3 million, of which $16.6 million is due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within the next twelve months.</w:t>
      </w:r>
    </w:p>
    <w:p>
      <w:pPr>
        <w:spacing w:after="0" w:line="6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00497F"/>
        </w:rPr>
        <w:t>Redeemable Preferred Stock Obligations</w:t>
      </w:r>
      <w:r>
        <w:rPr>
          <w:rFonts w:ascii="Arial" w:cs="Arial" w:eastAsia="Arial" w:hAnsi="Arial"/>
          <w:sz w:val="16"/>
          <w:szCs w:val="16"/>
          <w:color w:val="000000"/>
        </w:rPr>
        <w:t>—We have dividend payments of $135.5 million due on our redeemable preferred stock within the next twelve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months with an option to paid-in-kind dividends at a higher interest rate and to defer payment. See Note 15 for additional information related to our preferred stock obligations.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color w:val="000000"/>
        </w:rPr>
        <w:t>—In addition to our contractual obligations, we may pay quarterly cash dividends on our common stock, which are subject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change at the discretion of our board of directors.</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 See Note 1 for additional information related to other cash requirements.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Estimates and Policies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Transtar, FYX and Long Ridge Energy &amp; Power LLC. As of December 31, 2025, the carrying amount of goodwill within the Jefferson Terminal, Railroad, Corporate and Other and Power and Gas segments was $122.7 million, $147.2 million, $5.4 million and $90.3 million, respectively.</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goodwill impairment test is performed to identify potential goodwill impairment and measure an impairment loss.</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the fair value.</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October 1, 2025, for our Jefferson Terminal reporting unit, we completed a quantitative analysis. We estimate the fair value of Jefferson Terminal using an income approach, specifically a discounted cash flow analysis. This analysis requires us to make significant assumptions and estimates about the forecasted revenue growth rates, capital expenditures and discount rates. The estimates and assumptions used consider historical performance if indicative of future performance and are consistent with the assumptions used in determining future profit plans for the reporting units.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our impairment analysis, although we believe the estimates of fair value are reasonable, the determination of certain valuation inputs is subject to management's judgment. The fair value estimate was sensitive to certain assumptions inherent in the discounted estimated cash flows, including forecasted revenue and revenue growth rates and discount rates. Changes in these inputs, including as a result of events beyond our control, could materially affect the results of the impairment review. If the forecasted cash flows or other key inputs are negatively revised in the future, the estimated fair value of the reporting unit could be adversely impacted, potentially leading to an impairment in the future that could materially affect our operating results. The Jefferson Terminal reporting unit had an estimated fair value that exceeded its carrying value by more than 20% as of October 1, 2025. The Jefferson Terminal reporting unit forecasted revenue is dependent on the ramp up of volumes under current and expected future contracts for storage and throughput of heavy and light crude and refined products, expansion of refined product distribution to Mexico, expansion of volumes and execution of contracts related to sustainable fuels and movements in future oil spreads. Our discount rate for our 2025 goodwill impairment analysis was 10% and our assumed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9" w:name="page50"/>
    <w:bookmarkEnd w:id="49"/>
    <w:p>
      <w:pPr>
        <w:jc w:val="both"/>
        <w:spacing w:after="0" w:line="265" w:lineRule="auto"/>
        <w:rPr>
          <w:sz w:val="20"/>
          <w:szCs w:val="20"/>
          <w:color w:val="auto"/>
        </w:rPr>
      </w:pPr>
      <w:r>
        <w:rPr>
          <w:rFonts w:ascii="Arial" w:cs="Arial" w:eastAsia="Arial" w:hAnsi="Arial"/>
          <w:sz w:val="16"/>
          <w:szCs w:val="16"/>
          <w:color w:val="auto"/>
        </w:rPr>
        <w:t>terminal growth rate was 2.5%. If our strategy changes from planned capacity downward due to an inability to source contracts or expand volumes, the fair value of the reporting unit would be negatively affected, which could lead to an impairment. The expansion of refineries in the Beaumont/Port Arthur area, as well as growing crude oil and natural gas production in the U.S. and Canada, are expected to result in increased demand for storage on the U.S. Gulf Coast. Although we do not have significant direct exposure to volatility of crude oil prices, changes in crude oil pricing that affect long term refining planned output could impact Jefferson Terminal operations.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expect the Jefferson Terminal reporting unit to continue to grow and generate positive Adjusted EBITDA in future years. Further delays in executing anticipated contracts or achieving our projected volumes could adversely affect the fair value of the reporting unit.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goodwill for the year ended December 31,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reviewed recently issued accounting pronouncements and concluded that such pronouncements are either not applicable to the Company or no material impact is expected in the consolidated financial statements as a result of future adoption.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Indices which are deemed “benchmarks” are the subject of recent national, international, and other regulatory guidance and proposals for reform. We are monitoring related reform proposals and evaluating the related risks; however, it is not possible to predict the effects of any of these developments, and any future initiatives to regulate, reform or change the manner of administration of benchmark indices could result in adverse consequences to the rate of interest payable and receivable on, market value of and market liquidity for financial instruments tied to variable interest rate indices.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Some of our borrowing agreements require payments based on a variable interest rate index, such as Secured Overnight Financing Rate.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It also does not include a variety of other potential factors that could affect our business as a result of changes in interest rates.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2026, assuming we do not hedge our exposure to interest rate fluctuations related to our outstanding floating rate debt, a hypothetical 100-basis point increase/decrease in our variable interest rate on our borrowings would result in an increase of approximately $4.5 million or a decrease of approximately $4.5 million in interest expense over the next 12 months.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 13a-15(f) and 15d-15(f) under the Exchange Act) during the fiscal quarter to which this report relates that have materially affected, or are reasonably likely to materially affect, our internal control over financial reporting.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groups: risks related to our business, risks related to our capital structure, risks related to our Manager, risks related to the spin-off, risks related to the Wheeling acquisition and risks related to our common stock. However, these categories do overlap and should not be considered exclusive.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have limited operating history as an independent company and may not be able to successfully operate our business strategy, generate sufficient revenue to make or sustain distributions to our stockholders or meet our contractual commitments.</w:t>
      </w:r>
    </w:p>
    <w:p>
      <w:pPr>
        <w:spacing w:after="0" w:line="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limited experience operating as an independent company and cannot assure you that we will be able to successfully operate our business or implement our operating policies and strategies as described in this report. The timing, terms, price and form of consideration that we pay in future transactions may vary meaningfully from prior transactions.</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an independent public company, there can be no assurance that we will be able to generate sufficient returns to pay our operating expenses and make or sustain distributions to our stockholders, or any distributions at all, or meet our contractual commitments. Our results of operations, ability to make or sustain distributions to our stockholders or meet our contractual commitments depend on several factors, including the availability of opportunities to acquire attractive assets, the level and volatility of interest rates, the availability of adequate short- and long-term financing, the financial markets and economic conditions.</w:t>
      </w:r>
    </w:p>
    <w:p>
      <w:pPr>
        <w:spacing w:after="0" w:line="2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limit our ability to obtain additional capital to finance new investments or refinance existing debt, or have other unforeseen negative effects.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have created in the past and may continue to create difficult operating environments for owners and operators in the infrastructure industry. Many factors, including factors that are beyond our control, may impact our operating results or financial condition. For some years, the world has experienced weakened economic conditions and volatility following adverse changes in global capital markets. Volatility in oil and gas markets can put significant upward or downward pressure on prices for these commodities, and may affect demand for assets used in production, refining and transportation of oil and gas. Additionally, the worldwide military or geopolitical environment, including the Russia-Ukraine conflict and the conflicts in the Middle East, including the war among Israel, America and Iran and the related closure and blockade of the Strait of Hormuz, and any related geopolitical or economic responses, U.S. federal government shutdowns, global macroeconomic effects of trade disputes and increased tariffs, such as those imposed, or that may be imposed, by the U.S., may put further upward or downward pressure on prices for such commodities. In the past, a significant decline in oil prices has led to lower production and transportation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asset values have declined, particularly during the most recent economic downturn, and any future oversupply could materially adversely affect our results of operations and cash flows.</w:t>
      </w:r>
    </w:p>
    <w:p>
      <w:pPr>
        <w:spacing w:after="0" w:line="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oversupply of a specific asset is likely to depress the value of our assets and result in decreased utilization of our assets, and the industries in which we operate have experienced periods of oversupply during which asset values have declined, particularly during the most recent economic downturn. Factors that could lead to such oversupply include, without limitation:</w:t>
      </w:r>
    </w:p>
    <w:p>
      <w:pPr>
        <w:spacing w:after="0" w:line="56"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governmental regulation or economic, trade or other policies, including as a result of changing trade policies and tariffs, including related uncertainty or the imposition of modified or additional tariffs, trade wars, barriers or restrictions, or threats of such actions;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our customers;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geopolitical approach to infrastructure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flows.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contractual arrangements. Inherent in the nature of the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contractual arrangement. In addition, when counterparties default, we may fail to recover all of our assets, and the assets we do recover may be returned in damaged condition or to locations where we will not be able to efficiently use or sell them.</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4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Furthermore, as a result of the spin-off transaction, our assets are focused on infrastructure and we do not have any interest in FTAI’s aviation assets, which limits the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6"/>
          <w:szCs w:val="16"/>
          <w:color w:val="auto"/>
        </w:rPr>
        <w:t>diversity of our portfolio. Any decrease in the value and rates of our assets may have a material adverse effect on our business, prospects, financial condition, results of operations and cash flows.</w:t>
      </w:r>
    </w:p>
    <w:p>
      <w:pPr>
        <w:spacing w:after="0" w:line="63"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and our subsidiaries’ indebtedness and preferred stock.</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ability to make payments on our and our subsidiaries’ indebtedness and preferred stock as required depends on our and our subsidiaries’ ability to generate cash flow in the future. This ability, to a certain extent, is subject to general economic, financial, competitive, legislative, regulatory and other factors that are beyond our control. If we or our subsidiaries do not generate sufficient free cash flow to satisfy our or our subsidiaries’ debt or preferred stock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or preferred stock instruments then in effect. Furthermore, our ability to refinance would depend upon the condition of the finance and credit markets. Our inability to generate sufficient free cash flow to satisfy our and our subsidiaries’ debt and preferred stock obligations, or to refinance our and our subsidiaries’ obligations on commercially reasonable terms or on a timely basis, would materially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business of acquiring infrastructure assets is highly competitive. Market competition for opportunities includes traditional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general economic and market conditions affecting our target markets, type and age of assets, supply and demand for assets, competition, new governmental or other regulations and technological advances, all of which could impact our profitability and our ability to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Statements of Operations and such charge could be material</w:t>
      </w:r>
      <w:r>
        <w:rPr>
          <w:rFonts w:ascii="Arial" w:cs="Arial" w:eastAsia="Arial" w:hAnsi="Arial"/>
          <w:sz w:val="16"/>
          <w:szCs w:val="16"/>
          <w:i w:val="1"/>
          <w:iCs w:val="1"/>
          <w:color w:val="auto"/>
        </w:rPr>
        <w:t>.</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received in the spin-off, and may in the future acquire, operating businesses, including businesses whose operations are not fully matured and stabilized (including, but not limited to, our businesses within the Railroad, Jefferson Terminal, Repauno, Power and Gas, and Sustainability and Energy Transition segments). While our Manager has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64"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4" w:name="page55"/>
    <w:bookmarkEnd w:id="54"/>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113"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56"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recent geopolitical events;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received in the spin-off, and may in the future acquire, interests in certain assets in cooperation with third-party partners or co-investors through jointly 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 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If we are not able to acquire new technology or are unable to implement new technology, we may suffer a competitive disadvantage. For example, as the freight transportation markets we serve continue to evolve and become more efficient, the use of certain locomotives or railcars may decline in favor of other more economic modes of transportation. If the technology we use in our lines of business is superseded, or the cost of replacing our locomotives or railcars is expensive and requires additional capital, we could experience significant cost increases and reduced availability of the assets and equipment that are necessary for our operations. Any of these risks may adversely affect our ability to sell our assets on favorable terms, if at all, which could materially adversely affect our operating results and growth prospects.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EPA”), the U.S. Department of Transportation (the “DOT”), the Occupational Safety and Health Act (the “OSHA”), the U.S. Federal Railroad Administration (the “FRA”), and the U.S. Surface Transportation Board (the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that our rail operations are, and have been,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5" w:name="page56"/>
    <w:bookmarkEnd w:id="55"/>
    <w:p>
      <w:pPr>
        <w:jc w:val="both"/>
        <w:spacing w:after="0" w:line="275" w:lineRule="auto"/>
        <w:rPr>
          <w:sz w:val="20"/>
          <w:szCs w:val="20"/>
          <w:color w:val="auto"/>
        </w:rPr>
      </w:pPr>
      <w:r>
        <w:rPr>
          <w:rFonts w:ascii="Arial" w:cs="Arial" w:eastAsia="Arial" w:hAnsi="Arial"/>
          <w:sz w:val="16"/>
          <w:szCs w:val="16"/>
          <w:color w:val="auto"/>
        </w:rPr>
        <w:t>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the STB’s recent proposal to modify its policy regarding forced reciprocal switching by rail carriers or other competitive access proposals, if adopted, could increase government involvement in railroad pricing, service and operations and significantly change the current federal regulatory framework of the railroad industry. Such changes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various U.S.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trains or facilities or discover historical releases that were previously unidentified or not assessed. Although our inspection and testing programs are designed to prevent, detect and address any such releases promptly, the liabilities resulting from any future releases into the environment from our assets have the potential to substantially affect our business. Such events could also subject us to media and public scrutiny that could have a negative effect on our operations and also on the value of our common stock.</w:t>
      </w:r>
    </w:p>
    <w:p>
      <w:pPr>
        <w:spacing w:after="0" w:line="6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business is subject to evolving regulations regarding railcar design and the transportation of hazardous materials. Following the 2023 East Palestine derailment, authorities have accelerated safety mandates, including the final transition to DOT-117 tank cars. As of May 2025, legacy CPC-1232 cars owned by Jefferson Terminal are largely prohibited from crude and ethanol service, with a final deadline of May 1, 2029, for all other flammable liquids.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mitigate the costs of retrofitting our fleet of railcars at Jefferson and the risks of stricter operational controls, we are increasingly focusing our business development on customers and commodities that do not involve the movement of hazardous materials. Despite this shift, any additional federal or provincial mandates—such as real-time reporting requirements or speed restrictions—could still increase compliance costs. Furthermore, railroad service disruptions due to labor disputes, mechanical failures, or extreme weather could adversely affect our operations and financial results.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continue to evolve. In addition, ESG laws and regulations are expanding mandatory disclosure, reporting and diligence requirements.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6"/>
          <w:szCs w:val="16"/>
          <w:color w:val="auto"/>
        </w:rPr>
        <w:t>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On the other hand, state attorneys general and other governmental authorities may take action against certain ESG policies or practices, and we may become subject to restrictions on ESG initiatives. If we fail or are perceived to have failed to achieve previously announced initiatives or goals, accurately disclose our progress on such initiatives or goals or comply with various ESG and anti-ESG practices and regulations, our reputation, business, financial condition and results of operations could be adversely impacted.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transport hazardous materials.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transport certain hazardous materials and other materials, including crude oil, ethanol, and toxic inhalation hazard (“TIH”) materials, such as chlorine, that pose certain risks in the event of a release or combustion. Additionally, U.S. laws impose common carrier obligations on railroads that require us to transport certain hazardous materials regardless of risk or potential exposure to loss. In addition, insurance premiums charged for, or the self-insured retention associated with, some or all of the coverage currently maintained by us could increase dramatically or certain coverage may not be available to us in the future if there is a catastrophic event related to rail transportation of these materials. A rail accident or other incident or accident on our network, at our facilities, or at the facilities of our customers involving the release or combustion of hazardous materials could involve significant costs and claims for personal injury, property damage, and environmental penalties and remediation in excess of our insurance coverage for these risks, which could have a material adverse effect on our results of operations, financial condition, and liquidity.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affected by fluctuating prices for fuel and energy.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Volatility in energy prices could have a significant effect on a variety of items, including, but not limited to: the economy; demand for transportation services; business related to the energy sector, including the production and processing of crude oil, natural gas, and coal; fuel prices; and fuel surcharges. Particularly in our rail business, fuel costs constitute a significant portion of our expenses. Diesel fuel prices and availability can be subject to dramatic fluctuations, and significant price increases could have a material adverse effect on our operating results. If a severe fuel supply shortage arose from production curtailments, disruption of oil imports or domestic oil production, disruption of domestic refinery production, damage to refinery or pipeline infrastructure, political unrest, war, terrorist attack or otherwise, diesel fuel may not be readily available and may be subject to rationing regulations. Currently, we receive fuel surcharges and other rate adjustments to offset fuel prices, although there may be a significant delay in our recovery of fuel costs based on the terms of the fuel surcharge program. If Class I railroads change their policies regarding fuel surcharges, the compensation we receive for increases in fuel costs may decrease, which could have a negative effect on our profitability; in fact, we cannot be certain that we will always be able to mitigate rising or elevated fuel costs through fuel surcharges at all, as future market conditions or legislative or regulatory activities could adversely affect our ability to apply fuel surcharges or adequately recover increased fuel costs through fuel surcharges.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International, political, and economic factors, events and conditions and the potential for worsening economic conditions or economic downturn, including as a result of recent geopolitical events, including the war among Israel, America and Iran and the related closure and blockade of the Strait of Hormuz, and changing trade policies and tariffs, including related uncertainty or the imposition of modified or additional tariffs, trade wars, barriers or restrictions, or threats of such actions, may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 In addition, lower fuel prices could have a negative impact on commodities we process and transport, such as crude oil and petroleum products, which could have a material adverse effect on our results of operations, financial condition, and liquidity.</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Because we depend on Class I railroads for a significant portion of our operations in North America, our results of operations, financial condition and liquidity may be adversely affected if our relationships with these carriers deteriorate.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railroad industry in the United States and Canada is dominated by six Class I carriers that have substantial market control and negotiating leverage. In addition, Class I carriers also traditionally have been significant sources of business for us, and may be future sources of potential acquisition candidates as they divest branch lines. A decision by any of these Class I carriers to cease or re-route certain freight movements or to alter existing business relationships, including operational or relationship changes, could have a material adverse effect on our results of operations. The overall impact of any such decision would depend on which Class I carrier is involved, the routes and freight movements affected, as well as the nature of any changes.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The Railroad segment faces competition from other railroads and other transportation providers.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Railroad segment faces competition from other railroads, motor carriers, ships, barges, and pipelines. We operate in some corridors served by other railroads and motor carriers. In addition to price competition, we face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Additionally, we must build or acquire and maintain our rail system, while trucks, barges, and maritime operators are able to use public rights-of-way maintained by public entities. Any of the following could also affect the competitiveness of our rail services, which could have a material adverse effect on our results of operations, financial condition, and liquidity: (i) improvements or expenditures materially increasing the quality or reducing the costs of these alternative modes of transportation, such as autonomous or more fuel efficient trucks, (ii) legislation that eliminates or significantly increases the size or weight limitations applied to motor carriers, or (iii) legislation or regulatory changes that impose operating restrictions on railroads or that adversely affect the profitability of some or all railroad traffic. Additionally, any future consolidation of the rail industry could materially affect our competitive environment.</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events outside of our control which may disrupt our business and cause damage or losses that may not be adequately covered by insurance.</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operations of infrastructure projects are exposed to unplanned interruptions caused by breakdown or failure of equipment or plants,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derailments, power outages, pipeline or electricity line ruptures and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We have in the past experienced power outages at plants which disrupted their operations and negatively impacted our revenues. We cannot assure you that similar events may not occur in the future.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infrastructure sectors which could result in additional risks and uncertainties for our business and unexpected regulatory compliance costs.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While our existing portfolio consists of assets in the energy, port and rail sectors, we are actively evaluating potential acquisitions of assets and operating companies in other infrastructure sectors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infrastructure assets, including certain rail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Restrictive covenants in our and our subsidiaries’ debt and preferred stock instruments may adversely affect us.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instruments governing our and our subsidiaries’ outstanding debt and preferred stock contain certain restrictive covenants that limit our ability to engage in activities that may be in our long-term best interests. For example, these covenants significantly restrict our and certain of our subsidiaries’ ability to:</w:t>
      </w:r>
    </w:p>
    <w:p>
      <w:pPr>
        <w:spacing w:after="0" w:line="61"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incur indebtedness;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issue equity interests of the Company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senior in priority to, our Series B Redeemable Convertible Preferred Stock;</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issue equity interests of any subsidiary of the Company;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pay dividends or make other distributions;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repurchase or redeem capital stock or subordinated indebtedness and make investments;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58" w:name="page59"/>
    <w:bookmarkEnd w:id="58"/>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create liens;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incur dividend or other payment restrictions affecting the Company and certain of its subsidiaries;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transfer or sell assets, including capital stock of subsidiaries;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merge or consolidate with other entities or transfer all or substantially all of the Company’s assets;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take actions to cause the Company to cease to be treated as a domestic C corporation for U.S. tax purposes;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consummate a change in control without concurrently redeeming the Series A Preferred Stock - RailCo and the Series A Warrants - RailCo;</w:t>
      </w:r>
    </w:p>
    <w:p>
      <w:pPr>
        <w:spacing w:after="0" w:line="113" w:lineRule="exact"/>
        <w:rPr>
          <w:rFonts w:ascii="Arial" w:cs="Arial" w:eastAsia="Arial" w:hAnsi="Arial"/>
          <w:sz w:val="16"/>
          <w:szCs w:val="16"/>
          <w:color w:val="auto"/>
        </w:rPr>
      </w:pPr>
    </w:p>
    <w:p>
      <w:pPr>
        <w:jc w:val="both"/>
        <w:ind w:left="660" w:hanging="328"/>
        <w:spacing w:after="0" w:line="271"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amend, terminate or permit the assignment or subcontract of, or the transfer of any rights or obligations under, the Management Agreement, in order to alter the (i) scope of services in any material respect, (ii) the compensation, fee payment or other economic terms relating to the Management Agreement, or (iii) the scope of matters expressly required to be approved by the Independent Directors (as such term is defined in the Management Agreement) pursuant to the Management Agreement;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engage in certain intercompany transactions;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engage in certain prohibited business activities;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 into transactions with affiliates.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these covenants are subject to a number of important exceptions and qualifications, such restrictive covenants could affect our ability to operate our business and may limit our ability to take advantage of potential business opportunities. Events beyond our control can affect our ability to comply with these covenants. If an event of default occurs, we cannot assure you that we would have sufficient assets to repay all of our obligations.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certain other debt instruments (including the Series 2020A Bonds, Series 2021 Bonds and Series 2024 Bonds, the EB-5 loan agreements, the Long Ridge Acquiom Loan, the RailCo Revolver and the June 2025 Jefferson Credit Agreement) and the Series A Preferred Stock - RailCo and the Series A Warrants - RailCo include restrictive covenants that may materially limit our, or our subsidiaries’, ability to repay other debt or require us to achieve and maintain compliance with specified financial ratios. See “Description of Indebtedness” in the Information Statement filed with the SEC on Form 8-K on July 15, 2022 and Exhibits 10.11, 10.14 and 10.15 included herein.</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degree to which we are leveraged could cause a material adverse effect on our business, financial condition, results of operations and cash flows.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responsible for servicing our own debt and obtaining and maintaining sufficient working capital and other funds to satisfy our cash requirements. Our access to and cost of debt financing is different from the historical access to and cost of debt financing under FTAI. Differences in access to and cost of debt financing may result in differences in the interest rates charged to us on financings, as well as the amount of indebtedness, types of financing structures and debt markets that may be available to us. Our ability to make payments on and to refinance our and our subsidiaries’ indebtedness and preferred stock, as well as any future debt and preferred stock that we or our subsidiaries may incur, will depend on our ability to generate cash in the future from operations, financings and/or asset sales. Our ability to generate cash is subject to general economic, financial, competitive, legislative, regulatory and other factors that are beyond our control.</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Terrorist attacks or other hostilities could negatively impact our operations and our profitability and may expose us to liability and reputational damage.</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including recent geopolitical events, could similarly affect world trade and the industries in which we and our customers operate. In addition, terrorist attacks or hostilities may directly impact locations where our trains and containers travel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33"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9" w:name="page60"/>
    <w:bookmarkEnd w:id="59"/>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subject to federal, state and local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Under some environmental laws in the United States, strict liability may be imposed on the owners or operators of assets, which could render us liable for environmental and natural resource damages without regard to negligence or fault on our part.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prohibitions or severe restrictions on infrastructure development in certain areas,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9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Repauno site and the Long Ridge property are subject to environmental laws and regulations that may expose us to significant costs and liabilities.</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that sold Repauno to FTAI (the “Repauno Seller”) related to historic industrial operations. The Repauno Seller is responsible for completion of this work, and we benefit from a related indemnity and insurance policy. If the Repauno Seller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Repauno Seller’s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8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a portion of the Long Ridge site was redeveloped as a combined cycle gas-fired electric generating facility, and other portions will likely be redeveloped in the future. Although we have not identified material impacts to soils or groundwater that reasonably would be expected to prevent or delay further redevelopment projects, impacted materials could be encountered that require special handling and/or result in delays to those projects. Any additional projects may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the Repauno or Long Ridge sites into hubs for industrial and energy development in a timely manner, their future prospects could be materially and adversely affected, which may have a material adverse effect on our business, operating results and financial condition.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0" w:name="page61"/>
    <w:bookmarkEnd w:id="60"/>
    <w:p>
      <w:pPr>
        <w:jc w:val="both"/>
        <w:spacing w:after="0" w:line="294" w:lineRule="auto"/>
        <w:rPr>
          <w:sz w:val="20"/>
          <w:szCs w:val="20"/>
          <w:color w:val="auto"/>
        </w:rPr>
      </w:pPr>
      <w:r>
        <w:rPr>
          <w:rFonts w:ascii="Arial" w:cs="Arial" w:eastAsia="Arial" w:hAnsi="Arial"/>
          <w:sz w:val="16"/>
          <w:szCs w:val="16"/>
          <w:b w:val="1"/>
          <w:bCs w:val="1"/>
          <w:i w:val="1"/>
          <w:iCs w:val="1"/>
          <w:color w:val="auto"/>
        </w:rPr>
        <w:t>We have material customer concentration with respect to the Jefferson Terminal and Railroad segments, with a limited number of customers accounting for a material portion of our revenues.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earned approximately 22% of total revenues for the three months ended March 31, 2026 from one customer in the Railroad segment. Additionally, we earned approximately 7% of total revenues for the three months ended March 31, 2026 from one customer in the Jefferson Terminal segment. We earned approximately 41% of total revenues for the three months ended March 31, 2025 from one customer in the Railroad segment. Additionally, we earned approximately 11% of total revenues for the three months ended March 31, 2025, from one customer in the Jefferson Terminal segment. As of March 31, 2026, accounts receivable from three customers within the Jefferson Terminal, Railroad and Corporate and Other segments represented 43% of total accounts receivable, net. As of December 31, 2025, accounts receivable from three customers within the Jefferson Terminal and Railroad segments represented 41% of total accounts receivable, net.</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are inherent risks whenever a large percentage of total revenues are concentrated with a limited number of customers. It is not possible for us to predict the future level of demand for our services that will be generated by these customers or the future demand for the products and services of these customers in the end-user marketplace. In addition, revenues from these customers may fluctuate from time to time based on the commencement and completion of projects, the timing of which may be affected by market conditions or other factors, some of which may be outside of our control. If any of these customers experience declining or delayed sales due to market, economic or competitive conditions, or undergo material management or ownership changes, we could be pressured to reduce the prices we charge for our services or we could lose a major customer. Any such development could have an adverse effect on our margins and financial position and would negatively affect our revenues and results of operations and/or trading price of our common stock.</w:t>
      </w:r>
    </w:p>
    <w:p>
      <w:pPr>
        <w:spacing w:after="0" w:line="2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or cybersecurity incident, may lead to a disruption of our IT systems and the loss of business information which may hinder our ability to conduct our business effectively and may result in lost revenues and additional costs.</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We have, from time to time, experienced cybersecurity threats to our data and systems, including malware and computer virus attacks, any of which could be enhanced or facilitated by artificial intelligence. A cyberattack that bypasses our IT security systems or the IT security systems of our third-party providers, causing an IT security breach or cybersecurity incident,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 or incidents</w:t>
      </w:r>
      <w:r>
        <w:rPr>
          <w:rFonts w:ascii="Arial" w:cs="Arial" w:eastAsia="Arial" w:hAnsi="Arial"/>
          <w:sz w:val="16"/>
          <w:szCs w:val="16"/>
          <w:i w:val="1"/>
          <w:iCs w:val="1"/>
          <w:color w:val="auto"/>
        </w:rPr>
        <w:t>.</w:t>
      </w:r>
    </w:p>
    <w:p>
      <w:pPr>
        <w:spacing w:after="0" w:line="2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entities which are at least 50% owned that are not themselves investment companies and are not relying on the exception from the definition of investment company for certain privately offered investment vehicles set forth in Section 3(c)(1) or Section 3(c)(7) of the Investment Company Act.</w:t>
      </w:r>
    </w:p>
    <w:p>
      <w:pPr>
        <w:spacing w:after="0" w:line="2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judgments or settlements in legal proceedings could materially harm our business, financial condition, operating results and cash flows.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may be party to claims that arise from time to time in the ordinary course of our business, which may include those related to, for example, contracts, sub-contracts, employment of our workforce and immigration requirements or compliance with any of a wide array of state and federal statutes, rules and regulations that pertain to different aspects of our business. We may also be required to initiate expensive litigation or other proceedings to protect our business interests. There is a risk that we will not be successful or otherwise be able to satisfactorily resolve any pending or future litigation. In addition, litigation and other legal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61" w:name="page62"/>
    <w:bookmarkEnd w:id="61"/>
    <w:p>
      <w:pPr>
        <w:jc w:val="both"/>
        <w:spacing w:after="0" w:line="265" w:lineRule="auto"/>
        <w:rPr>
          <w:sz w:val="20"/>
          <w:szCs w:val="20"/>
          <w:color w:val="auto"/>
        </w:rPr>
      </w:pPr>
      <w:r>
        <w:rPr>
          <w:rFonts w:ascii="Arial" w:cs="Arial" w:eastAsia="Arial" w:hAnsi="Arial"/>
          <w:sz w:val="16"/>
          <w:szCs w:val="16"/>
          <w:color w:val="auto"/>
        </w:rPr>
        <w:t>claims are subject to inherent uncertainties and management’s view of currently pending legal matters may change in the future. Those uncertainties include, but are not limited to, litigation costs and attorneys’ fees, unpredictable judicial or jury decisions and the differing laws regarding damage awards among the states in which we operate. Unexpected outcomes in such legal proceedings, or changes in management’s evaluation or predictions of the likely outcomes of such proceedings (possibly resulting in changes in established reserves), could have a material adverse effect on our business, financial condition, results of operations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officers and other individuals who perform services for us (other than Jefferson Terminal, Repauno, Long Ridge, Transtar, Aleon and Gladieux, Wheeling, KRS, Clean Planet, FYX, and CarbonFree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an employee of Fortress, which is an affiliate of our Manager, and who until May 2024, was a principal and a member of the board of directors of Fortress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14, 2024, certain members of Fortress management and affiliates of Mubadala completed their acquisition of 100% of the equity of Fortress. While Fortress’s senior investment professionals are expected to remain at Fortress, including those individuals who perform services for us, there can be no assurance that the transaction will not have an adverse impact on us or our relationship with our Manager.</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Management Agreement was not negotiated at arm’s-length, and its terms, including fees payable, may not be as favorable to us as if they had been negotiated with an unaffiliated third party.</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affiliates—including investment funds, private investment funds, or businesses managed by our Manager, including Florida East Coast Industries, LLC (“FECI”)—invest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Although we have the same Manager, we may compete with entities affiliated with our Manager or Fortress, including FECI,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In connection with the spin-off, we received assets previously purchased by FTAI, and we may in the future purchase assets from these funds, and FTAI has previously co-invested and we may in the future co-invest with these funds in infrastructure assets. Fortress funds generally have a fee structure similar to ours, but the fees actually paid will vary depending on the size, terms and performance of each fund.</w:t>
      </w:r>
    </w:p>
    <w:p>
      <w:pPr>
        <w:spacing w:after="0" w:line="28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infrastructure related management and other investment opportunities in the future, which may compete with us for investments or result in a change in our current investment strategy. In addition, our certificate of incorporation provides that if any of the Fortress Parties or any of their officers, directors or employees acquire knowledge of a potential transaction that could be a corporate opportunity, they have no duty, to the fullest extent permitted by law, to offer such corporate opportunity to us, our stockholders or our affiliates. In the event that any of our directors and officers who is also a director, officer or employee of any of the Fortress Parties or their affiliates acquires knowledge of a corporate opportunity or is offered a corporate opportunity, provided that this knowledge was not acquired solely in such person’s capacity as a director or officer of us and such person acts in good faith, then to the fullest extent permitted by law such person is deemed to have fully satisfied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6"/>
          <w:szCs w:val="16"/>
          <w:color w:val="auto"/>
        </w:rPr>
        <w:t>such person’s fiduciary duties owed to us and is not liable to us if any of the Fortress Parties, or their respective affiliates, pursues or acquires the corporate opportunity or if such person did not present the corporate opportunity to us.</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FTAI and FECI,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party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structure of our Manager’s compensation arrangements may have unintended consequences for us. We have agreed to pay our Manager a management fee that is based on different measures of performance. Consequently, there may be conflicts in the incentives of our Manager to generate attractive risk-adjusted returns for us. Investments with higher yield potential are generally riskier or more speculative than investments with lower yield potential. This could result in increased risk to the value of our portfolio of assets and our common stock.</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will not approve each acquisition we make at the direction of our Manager. In addition, we may change our strategy without a stockholder vote, which may result in our acquiring assets that are different, riskier or less profitable than our current assets.</w:t>
      </w:r>
    </w:p>
    <w:p>
      <w:pPr>
        <w:spacing w:after="0" w:line="4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stockholder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stockholder vote.</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stock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8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our Manager, will not be liable to us or any of our subsidiaries, to our board of directors, or our or any subsidiary’s stockholders or partners for any acts or omissions by our Manager, its members, managers, officers, employees, sub-advisers and any other person controlling our Manager, except liability to us, our stockholders,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3" w:name="page64"/>
    <w:bookmarkEnd w:id="63"/>
    <w:p>
      <w:pPr>
        <w:jc w:val="both"/>
        <w:ind w:right="20"/>
        <w:spacing w:after="0" w:line="286" w:lineRule="auto"/>
        <w:rPr>
          <w:sz w:val="20"/>
          <w:szCs w:val="20"/>
          <w:color w:val="auto"/>
        </w:rPr>
      </w:pPr>
      <w:r>
        <w:rPr>
          <w:rFonts w:ascii="Arial" w:cs="Arial" w:eastAsia="Arial" w:hAnsi="Arial"/>
          <w:sz w:val="16"/>
          <w:szCs w:val="16"/>
          <w:color w:val="auto"/>
        </w:rPr>
        <w:t>performance of our Manager’s duties under our Management Agreement and not constituting such indemnified party’s bad faith, willful misconduct, gross negligence or reckless disregard of our Manager’s duties under our Management Agreement.</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compete with affiliates of and entities managed by our Manager which could adversely affect our and their results of operations.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Affiliates of and entities managed by our Manager are primarily engaged in the infrastructure and energy business and invest in, and actively manage, portfolios of infrastructure and energy investments and other assets. Affiliates of and entities managed by our Manager are not restricted in any manner from competing with us. After the spin-off, affiliates of and entities managed by our Manager may decide to invest in the same types of assets that we invest in. Furthermore, certain of our directors and officers are the same as certain of our Manager’s affiliates. See “—Risks Related to Our Manager—There are conflicts of interest in our relationship with our Manager.”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the Spin-off</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ownership by some of our directors of common shares, options, or other equity awards of FTAI may create, or may create the appearance of, conflicts of interest.</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some of our directors also currently hold positions with FTAI, they own FTAI common shares, options to purchase FTAI common shares or other equity awards. For example, Judith Hannaway and Ray Robinson are directors of both FTAI and FTAI Infrastructure, and Joseph Adams, Jr., who is the chairman of the board of both FTAI and FTAI Infrastructure and is the chief executive officer of FTAI, owns common shares and options to purchase common shares in both FTAI and FTAI Infrastructure. Ownership by some of our directors of common shares or options to purchase common shares of FTAI, or any other equity awards, creates, or may create the appearance of, conflicts of interest when these directors are faced with decisions that could have different implications for FTAI than they do for us.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share certain key directors with FTAI, which means those officers do not devote their full time and attention to our affairs and the overlap may give rise to conflicts.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There is an overlap between certain key directors of the Company and of FTAI. Judith Hannaway and Ray Robinson are directors of both the Company and FTAI, and Joseph Adams, Jr. is the chairman of the board of directors of both the Company and FTAI, and continues to serve as the chief executive officer of FTAI. Shared directors may have actual or apparent conflicts of interest with respect to matters involving or affecting each company. For example, there will be the potential for a conflict of interest when we on the one hand, and FTAI and its respective subsidiaries and successors on the other hand, are party to commercial transactions concerning the same or adjacent investments. In addition, certain of our directors and officers continue to own shares and/or options or other equity awards of FTAI. These ownership interests could create actual, apparent or potential conflicts of interest when these individuals are faced with decisions that could have different implications for our company and FTAI. See “Certain Relationships and Related Party Transactions—Our Manager and Management Agreement” in the Information Statement filed with the SEC on Form 8-K on July 15, 2022 for a discussion of certain procedures we instituted to help ameliorate such potential conflicts that may arise.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the Wheeling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the businesses and realize the anticipated benefits of the Wheeling Acquisition.</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success of the Wheeling Acquisition will depend, in part, on our ability to successfully integrate Wheeling, with our business and realize the anticipated benefits, including synergies, cost savings, innovation and operational efficiencies, from this combination. If we are unable to achieve these objectives within the anticipated time frame, or at all, the anticipated benefits may not be realized fully, or at all, or may take longer to realize than expected and the value of our common stock may be harmed. Additionally, as a result of the Wheeling Acquisition, rating agencies may take negative actions against our credit ratings, which may increase our financing costs.</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integration of Wheeling into our business is a complex, costly and time-consuming process, and may result in material challenges, including, without limitation:</w:t>
      </w:r>
    </w:p>
    <w:p>
      <w:pPr>
        <w:spacing w:after="0" w:line="33" w:lineRule="exact"/>
        <w:rPr>
          <w:sz w:val="20"/>
          <w:szCs w:val="20"/>
          <w:color w:val="auto"/>
        </w:rPr>
      </w:pPr>
    </w:p>
    <w:p>
      <w:pPr>
        <w:ind w:left="5540" w:right="1940" w:hanging="5208"/>
        <w:spacing w:after="0" w:line="779" w:lineRule="auto"/>
        <w:tabs>
          <w:tab w:leader="none" w:pos="651"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successfully integrate Wheeling in a manner that permits us to realize the anticipated benefits of the acquisition;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4" w:name="page65"/>
    <w:bookmarkEnd w:id="64"/>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managing a larger rail platform;</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difficulties expanding our customer base;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difficulties and delays integrating Wheeling’s operations and systems and retaining key employees;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higher than anticipated costs incurred in connection with the integration of Wheeling;</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possibility of faulty assumptions underlying expectations regarding the integration process;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retaining existing business and operational relationships and attracting new business and operational relationships;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disruptions to our ongoing business and diversion of our management’s attention caused by transition or integration activities involving Wheeling;</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consolidating corporate and administrative infrastructures and eliminating duplicative functions;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assumption of pre-existing contractual relationships of Wheeling that we may not have otherwise entered into, the termination or modification of which may be costly or disruptive to our business;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unanticipated issues in integrating information technology, communications and other systems;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incurring debt to finance the Wheeling Acquisition, which will increase our debt service requirements, expense and leverage;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potential litigation arising from the transaction;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unanticipated changes in applicable federal or state laws or regulations.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Many of these factors will be outside of our control and any one of them could result in delays, increased costs, decreases in the amount of expected revenues and diversion of management’s time and energy, which could materially affect our financial position, results of operations and cash flows.</w:t>
      </w:r>
    </w:p>
    <w:p>
      <w:pPr>
        <w:spacing w:after="0" w:line="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have discovered undisclosed liabilities or other issues of Wheeling during our due diligence process, and we may not have adequate legal protection from potential liabilities of, or in respect of our acquisition of Wheeling.</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course of the due diligence review of Wheeling that we conducted prior to the execution of the Stock Purchase Agreement, we may not have discovered, or may have been unable to quantify, undisclosed liabilities or other issues relating to Wheeling and its subsidiaries. Moreover, we may not have adequate legal protection from potential liabilities of, or in respect of our acquisition of Wheeling, irrespective of whether or not such potential liabilities were discovered. Examples of such undisclosed or potential liabilities or other issues may include, but are not limited to, pending or threatened litigation, regulatory and environmental compliance, tax liabilities, indemnification of obligations, undisclosed counterparty termination rights, or undisclosed letter of credit or guarantee requirements. Any such undisclosed or potential liabilities or other issues could have an adverse effect on our business, results of operations, financial condition and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Wheeling faces competition from other railroads and other transportation providers.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Wheeling faces competition from other railroads, motor carriers, ships, barges, and pipelines. Wheeling operates in some corridors served by other railroads and motor carriers. In addition to price competition, Wheeling faces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Additionally, Wheeling must build or acquire and maintain its rail system, while trucks, barges, and maritime operators are able to use public rights-of-way maintained by public entities. Any of the following could also affect the competitiveness of our rail services, which could have a material adverse effect on our results of operations, financial condition, and liquidity: (i) improvements or expenditures materially increasing the quality or reducing the costs of these alternative modes of transportation, such as autonomous or more fuel efficient trucks, (ii) legislation that eliminates or significantly increases the size or weight limitations applied to motor carriers, or (iii) legislation or regulatory changes that impose operating restrictions on railroads or that adversely affect the profitability of some or all railroad traffic. Additionally, any future consolidation of the rail industry could materially affect our competitive environment.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Wheeling has material customer concentration, with a limited number of customers accounting for a material portion of our revenues.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Wheeling earned approximately 7% of its total revenues for the three months ended March 31, 2026 from one customer. There are inherent risks whenever a large percentage of total revenues are concentrated with a limited number of customers. It is not possible for us to predict the future level of demand for Wheeling’s services that will be generated by these customers or the future demand for the products and services of these customers in the end-user marketplace. In addition, revenues from these customers may fluctuate from time to time, which may be affected by market conditions or other factors, some of which may be outside of our control. If any of these customers experience declining or delayed sales due to market, economic or competitive conditions, or undergo material management or ownership changes, Wheeling could be pressured to reduce the prices it charges for its services or could lose a major customer. Any such development could have a significant adverse impact on the business and financial condition of the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5" w:name="page66"/>
    <w:bookmarkEnd w:id="65"/>
    <w:p>
      <w:pPr>
        <w:jc w:val="both"/>
        <w:spacing w:after="0" w:line="294" w:lineRule="auto"/>
        <w:rPr>
          <w:sz w:val="20"/>
          <w:szCs w:val="20"/>
          <w:color w:val="auto"/>
        </w:rPr>
      </w:pPr>
      <w:r>
        <w:rPr>
          <w:rFonts w:ascii="Arial" w:cs="Arial" w:eastAsia="Arial" w:hAnsi="Arial"/>
          <w:sz w:val="16"/>
          <w:szCs w:val="16"/>
          <w:b w:val="1"/>
          <w:bCs w:val="1"/>
          <w:i w:val="1"/>
          <w:iCs w:val="1"/>
          <w:color w:val="auto"/>
        </w:rPr>
        <w:t>The future results of the Company may be adversely impacted if the Company does not effectively manage its expanded operations following the completion of the Wheeling Acquisition.</w:t>
      </w:r>
    </w:p>
    <w:p>
      <w:pPr>
        <w:spacing w:after="0" w:line="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result of the Wheeling Acquisition, the size of the Company’s business has increased significantly. The Company’s ability to successfully manage this expanded business will depend, in part, upon management’s ability to design and implement strategic initiatives that address not only the integration of Wheeling, but also the increased scale and scope of the combined business with its associated increased costs and complexity.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Wheeling has not been required to comply with the Sarbanes-Oxley Act of 2002 (“Sarbanes-Oxley”).</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Prior to the Wheeling Acquisition, Wheeling was a privately-held company not subject to Sarbanes-Oxley. Sarbanes-Oxley requires public companies to have and maintain effective internal control over financial reporting to provide reasonable assurance regarding the reliability of financial reporting and preparation of financial statements and to have management report on the effectiveness of those controls on an annual basis (and have its independent public accountants attest annually to the effectiveness of such internal controls). As a private company, Wheeling is not required to comply with the requirements of Sarbanes-Oxley.</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begun applying our Sarbanes-Oxley procedures regarding internal controls over financial reporting with respect to Wheeling. This process will require us to expend a significant amount of time from our management and other personnel and will require us to expend a significant amount of financial resources, which is likely to increase our compliance costs. Even after expending such resources, we cannot assure you that we will be able to conclude that our internal controls over financial reporting with respect to Wheeling are effective within the time frame required. If we are not able to comply with the requirements of Sarbanes-Oxley in a timely manner, we could be subject to sanctions or investigations by the SEC or other regulatory authorities, which would entail expenditure of additional financial and management resources and could materially adversely affect the combined company.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Common Stock</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The market price and trading volume of our common stock may be volatile, which could result in rapid and substantial losses for our stockholders.</w:t>
      </w:r>
    </w:p>
    <w:p>
      <w:pPr>
        <w:spacing w:after="0" w:line="29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market price of our common stock may be highly volatile and could be subject to wide fluctuations. In addition, the trading volume in our common stock may fluctuate and cause significant price variations to occur. If the market price of our common stock declines significantly, you may be unable to resell your stock at or above your purchase price, if at all. The market price of our common stock may fluctuate or decline significantly in the future. Some of the factors that could negatively affect our stock price or result in fluctuations in the price or trading volume of our stock include:</w:t>
      </w:r>
    </w:p>
    <w:p>
      <w:pPr>
        <w:spacing w:after="0" w:line="65"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stock;</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the potential for worsening economic conditions, economic downturn, a recession or interest rate or currency rate fluctuations, could adversely affect the market price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common stock.</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One of the factors that investors may consider in deciding whether to buy or sell our stock is our distribution rate as a percentage of our stock price relative to market interest rates. If the market price of our common stock is based primarily on the earnings and return that we derive from our investments and income with respect to our investments and our related distributions to stockholders, and not from the market value of the investments themselves, then interest rate fluctuations and capital market conditions will likely affect the market price of our common stock. For instance, if market interest rates rise without an increase in our distribution rate, the market price of our common stock could decrease, as potential investors may require a higher distribution yield on our stock or seek other securities paying higher distributions or interest. In addition, rising interest rates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66" w:name="page67"/>
    <w:bookmarkEnd w:id="66"/>
    <w:p>
      <w:pPr>
        <w:spacing w:after="0" w:line="286" w:lineRule="auto"/>
        <w:rPr>
          <w:sz w:val="20"/>
          <w:szCs w:val="20"/>
          <w:color w:val="auto"/>
        </w:rPr>
      </w:pPr>
      <w:r>
        <w:rPr>
          <w:rFonts w:ascii="Arial" w:cs="Arial" w:eastAsia="Arial" w:hAnsi="Arial"/>
          <w:sz w:val="16"/>
          <w:szCs w:val="16"/>
          <w:color w:val="auto"/>
        </w:rPr>
        <w:t>would result in increased interest expense on our outstanding and future (variable and fixed) rate debt, thereby adversely affecting cash flows and our ability to service our indebtedness and pay distributions.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the market for our common stock will provide you with adequate liquidity.</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There can be no assurance that an active trading market for our common stock will develop or be sustained in the future, and the market price of our stock may fluctuate widely, depending upon many factors, some of which may be beyond our control. These factors include, without limitation:</w:t>
      </w:r>
    </w:p>
    <w:p>
      <w:pPr>
        <w:spacing w:after="0" w:line="3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quarterly or annual earnings and cash flows, or those of other comparable companies;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dispositions or other transactions;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failure of securities analysts to cover our stock;</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market performance of affiliates and other counterparties with whom we conduct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operating and stock price performance of other comparable companies;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failure to maintain our exemption under the Investment Company Act or satisfy Nasdaq listing requirements;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negative public perception of us, our competitors or industry;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overall market fluctuations;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general economic conditions.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Stock markets in general have experienced volatility that has often been unrelated to the operating performance of a particular company. These broad market fluctuations may adversely affect the market price of our common stock.</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Failure to maintain effective internal control over financial reporting in accordance with Section 404 of the Sarbanes-Oxley Act of 2002 could have a material adverse effect on our business and stock price.</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a public company, we are required to maintain effective internal control over financial reporting in accordance with Section 404 of the Sarbanes-Oxley Act of 2002. Internal control over financial reporting is complex and may be revised over time to adapt to changes in our business, or changes in applicable accounting rules. We may make investments through joint ventures and accounting for such investments can increase the complexity of maintaining effective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may issue an adverse opinion as to the effectiveness of our internal control over financial reporting. Matters impacting our internal control over financial reporting may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the effectiveness of our internal control over financial reporting. This could materially adversely affect us by, for example, leading to a decline in our stock price and impairing our ability to raise capital.</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Your percentage ownership in us may be diluted in the future because of equity awards that we expect will be granted to our Manager, to the directors, officers and employees of our Manager who perform services for us, and to our directors, officers and employees, as well as other equity instruments such as debt and equity financing, including, but not limited to, the Series B Preferred Stock, the Series I Warrants (as defined in Note 19 of the Company’s Annual Report on Form 10-K for the year ended December 31, 2025) and the Series A Warrants (as defined in Note 19 of the Company’s Annual Report on Form 10-K for the year ended December 31, 2025).</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August 1, 2022, our board of directors adopted the FTAI Infrastructure Inc. Nonqualified Stock Option and Incentive Award Plan (the “Incentive Plan”), which provides for the ability to grant compensation awards in the form of stock, options, stock appreciation rights, restricted stock, performance awards, manager awards, tandem awards, other stock-based awards (including restricted stock units) and non-stock-based awards, in each case to our Manager, to the directors, officers, employees, service providers, consultants and advisors of our Manager who perform services for us, and to our directors, officers, employees, service providers, consultants and advisors. We initially reserved 30,000,000 shares of our common stock for issuance under the Incentive Plan. On the date of any equity issuance by us during the ten-year term of the Incentive Plan, that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7" w:name="page68"/>
    <w:bookmarkEnd w:id="67"/>
    <w:p>
      <w:pPr>
        <w:jc w:val="both"/>
        <w:spacing w:after="0" w:line="257" w:lineRule="auto"/>
        <w:rPr>
          <w:sz w:val="20"/>
          <w:szCs w:val="20"/>
          <w:color w:val="auto"/>
        </w:rPr>
      </w:pPr>
      <w:r>
        <w:rPr>
          <w:rFonts w:ascii="Arial" w:cs="Arial" w:eastAsia="Arial" w:hAnsi="Arial"/>
          <w:sz w:val="16"/>
          <w:szCs w:val="16"/>
          <w:color w:val="auto"/>
        </w:rPr>
        <w:t>number will be increased by a number of shares of our common stock equal to 10% of (i) the number of shares of our common stock newly issued by us in such equity issuance or (ii) if such equity issuance relates to equity securities other than our common stock, the number of shares of our common stock equal to the quotient obtained by dividing the gross capital raised in such equity issuance by the fair market value of a share of our common stock as of the date of such equity issuance (such quotient, the “Equity Security Factor”). The term of the Incentive Plan expires in 2032. For a more detailed description of the Incentive Plan, see “Management—FTAI Infrastructure Nonqualified Stock Option and Inventive Award Plan” in the Information Statement filed with the SEC on Form 8-K on July 15, 2022. Upon the successful completion of an equity offering by us, we will issue to our Manager (or an affiliate of our Manager), as compensation for our Manager’s role in raising capital for us, options to purchase shares of our common stock equal to up to 10% of (i) the aggregate number of shares of our common stock being issued in such offering or (ii) if such equity issuance relates to equity securities other than shares of our common stock, the number of shares of our common stock equal to the Equity Security Factor. In addition, the compensation committee of our board of directors has the authority to grant such other awards to our Manager as it deems advisable; provided that no such award may be granted to our Manager in connection with any issuance by us of equity securities in excess of 10% of (i) the maximum number of shares of our common stock then being issued or (ii) if such equity issuance relates to equity securities other than shares of our common stock, the maximum number of shares of our common stock determined in accordance with the Equity Security Factor.</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Series B Redeemable Convertible Preferred Stock may be converted into a maximum of 22,237,370 shares of our common stock, subject to customary anti-dilution adjustments and assuming shareholder approval is not sought and obtained to issue additional shares. Furthermore, the Series I Warrants and the Series A Warrants represent the right to purchase 3,342,566 shares of common stock and 550,000 shares of common stock, respectively, at an exercise price of $10.00 per share, subject to customary anti-dilution adjustments.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common stock is subject to ownership and transfer restrictions intended to preserve our ability to use our net operating loss carryforwards and other tax attributes.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incurred and may also continue to incur significant net operating loss carryforwards and other tax attributes, the amount and availability of which are subject to certain qualifications, limitations, and uncertainties. Our certificate of incorporation imposes certain restrictions on the transferability and ownership of our common stock, preferred stock, and other interests treated as our “stock” (such stock and other interests, the “Corporation Securities,” such restrictions on transferability and ownership, the “Ownership Restrictions”) in order to reduce the possibility of an equity ownership shift that could result in limitations on our ability to utilize net operating loss carryforwards for U.S. federal income tax purposes. Any acquisition of Corporation Securities that results in a stockholder being in violation of these restrictions may not be valid.</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Subject to certain exceptions (including with respect to Initial Substantial Stockholders, as defined in our certificate of incorporation), the Ownership Restrictions will restrict (i) any person or entity (including certain groups of persons) from directly or indirectly acquiring 4.8% or more of the outstanding Corporation Securities and (ii) the ability of any person or entity (including certain groups of persons) already owning, directly or indirectly, 4.8% or more of the Corporation Securities to increase their proportionate interest in, or to sell, the Corporation Securities. Any transferee receiving Corporation Securities that would result in a violation of the Ownership Restrictions will not be recognized as an FTAI Infrastructure stockholder or entitled to any rights of stockholders, including, without limitation, the right to vote and receive dividends or distributions, whether liquidating or otherwise, in each case, with respect to the Corporation Securities causing the violation. FTAI Infrastructure common stockholders whose ownership violates the Ownership Restrictions at the time of the spin-off will not be required to sell their FTAI Infrastructure common stock, but may be prevented from acquiring more Corporation Securities.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Ownership Restrictions will remain in effect until the earlier of (i) the date on which Section 382 of the Code is repealed, amended, or modified in such a way as to render the restrictions imposed by Section 382 of the Code no longer applicable to us or (ii) a determination by the board of directors that (1) an ownership change would not result in a substantial limitation on our ability to use our available net operating loss carryforwards and other tax attributes; (2) no significant value attributable to our available net operating loss carryforwards and other tax attributes would be preserved by continuing the transfer restrictions; or (3) it is not in our best interests to continue the Ownership Restrictions. The Ownership Restrictions may also be waived by the board of directors on a case-by-case basis. There is no assurance, however, that the Company will not experience a future ownership change under Section 382 that may significantly limit its ability to use its NOL carryforwards as a result of such a waiver or otherwise.</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Ownership Restrictions described above could make it more difficult for a third party to acquire, or could discourage a third party from acquiring, a large block of our common stock. This may adversely affect the marketability of our common stock by discouraging existing or potential investors from acquiring our stock or additional shares of our stock. It is also possible that the transfer restrictions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are advised to carefully monitor your ownership of our common stock and consult your legal advisors to determine whether your ownership of our common stock violates the ownership restrictions that are in our certificate of incorporation.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or issue debt or issue equity, which may negatively affect the market price of our common stock.</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may in the future incur or issue debt or issue equity or equity-related securities. In the event of our liquidation, lenders and holders of our debt and holders of our preferred stock (if any) would receive a distribution of our available assets before common stockholders. Any future incurrence or issuance of debt would increase our interest cost and could adversely affect our results 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8" w:name="page69"/>
    <w:bookmarkEnd w:id="68"/>
    <w:p>
      <w:pPr>
        <w:jc w:val="both"/>
        <w:spacing w:after="0" w:line="258" w:lineRule="auto"/>
        <w:rPr>
          <w:sz w:val="20"/>
          <w:szCs w:val="20"/>
          <w:color w:val="auto"/>
        </w:rPr>
      </w:pPr>
      <w:r>
        <w:rPr>
          <w:rFonts w:ascii="Arial" w:cs="Arial" w:eastAsia="Arial" w:hAnsi="Arial"/>
          <w:sz w:val="16"/>
          <w:szCs w:val="16"/>
          <w:color w:val="auto"/>
        </w:rPr>
        <w:t>operations and cash flows. We are not required to offer any additional equity securities to existing common stockholders on a preemptive basis. Therefore, additional issuances of common stock, directly or through convertible or exchangeable securities, warrants or options, including, but not limited to, the Series B Redeemable Convertible Preferred Stock, the Series I Warrants and the Series A Warrants, will dilute the holdings of our existing common stockholders and such issuances, or the perception of such issuances, may reduce the market price of our common stock. Any additional preferred stock issued by us would likely have, a preference on distribution payments, periodically or upon liquidation, which could eliminate or otherwise limit our ability to make distributions to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stockholders bear the risk that our future incurrence or issuance of debt or issuance of equity or equity-related securities will adversely affect the market price of our stock.</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Provisions of Delaware law, our certificate of incorporation and our bylaws, prevent or delay an acquisition of our company, which could decrease the market price of our common stock.</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Delaware law contains, and our certificate of incorporation and bylaws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56"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classified board of directors with staggered three-year terms;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provisions regarding the election of directors, classes of directors, the term of office of directors and the filling of director vacancies;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provisions regarding corporate opportunity;</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removal of directors only for cause and only with the affirmative vote of at least 80% of the then issued and outstanding shares of our capital stock entitled to vote in the election of directors;</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to determine the powers, preferences and rights of our preferred stock and to issue such preferred stock without stockholder approval;</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advance notice requirements applicable to stockholders for director nominations and actions to be taken at annual meetings;</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prohibition will be in our certificate of incorporation that states that directors will be elected by plurality vote, a provision which means that the holders of a majority of the issued and outstanding shares of common stock can elect all the directors standing for election;</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requirement in our bylaws specifically denying the ability of our stockholders to consent in writing to take any action in lieu of taking such action at a duly called annual or special meeting of our stockholders; and</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Corporation Securities are subject to ownership and transfer restrictions in order to reduce the possibility of an equity ownership shift that could result in limitations on our ability to utilize net operating loss carryforwards for U.S. federal income tax purposes.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Public stockholders who might desire to participate in these types of transactions may not have an opportunity to do so, even if the transaction is considered favorable to stockholders. These anti-takeover provisions could substantially impede the ability of public stockholders to benefit from a change in control or a change in our management and board of directors and, as a result, may adversely affect the market price of our common stock and your ability to realize any potential change of control premium.</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bylaws contain exclusive forum provisions for certain claims, which could limit our stockholders’ ability to obtain a favorable judicial forum for disputes with us or our directors, officers or employees.</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bylaws, to the fullest extent permitted by law, provide that, unless we consent in writing to the selection of an alternative forum, the Court of Chancery of the State of Delaware will be the sole and exclusive forum for (i) any derivative action or proceeding brought on behalf of us; (ii) any action asserting a claim of breach of a duty (including any fiduciary duty) owed by any of our current or former directors, officers or employees to us or our stockholders; (iii) any action asserting a claim against us or any of our current or former directors, officers, stockholders, employees or agents arising out of or relating to any provision of the DGCL or our certificate of incorporation or our bylaws; or (iv)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Exchange Act, or rules and regulations thereunder.</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claims brought to enforce any duty or liability created by the Securities Act or the rules and regulations thereunder and our bylaws will provide that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9" w:name="page70"/>
    <w:bookmarkEnd w:id="69"/>
    <w:p>
      <w:pPr>
        <w:jc w:val="both"/>
        <w:spacing w:after="0" w:line="286" w:lineRule="auto"/>
        <w:rPr>
          <w:sz w:val="20"/>
          <w:szCs w:val="20"/>
          <w:color w:val="auto"/>
        </w:rPr>
      </w:pPr>
      <w:r>
        <w:rPr>
          <w:rFonts w:ascii="Arial" w:cs="Arial" w:eastAsia="Arial" w:hAnsi="Arial"/>
          <w:sz w:val="16"/>
          <w:szCs w:val="16"/>
          <w:color w:val="auto"/>
        </w:rPr>
        <w:t>means that suits brought by our stockholders to enforce any duty or liability created by the Securities Act must be brought in federal court and cannot be brought in state court.</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and our bylaws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shall be deemed to have notice of and consented to our exclusive forum provisions, including the federal forum provision; provided, however, that stockholders will not be deemed to have waived our compliance with the federal securities laws and the rules and regulations thereunder.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pay regular quarterly dividends to our stockholders, we may change our dividend policy at any time.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Although we currently pay regular quarterly dividends to holders of our common stock, we may change our dividend policy at any time. Our net cash provided by operating activities could be less than the amount of distributions to our stockholders. The declaration and payment of dividends to holders of our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limitations under our contractual agreements, including the agreements governing certain of our debt financings, our taxable income, our operating expenses and other factors our board of directors deem relevant. There can be no assurance that we will continue to pay dividends in amounts or on a basis consistent with prior distributions to our investors, if at all. Furthermore, our net cash provided by operating activities could be less than the amount of distributions to our stockholders.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an independent public company with shares listed on Nasdaq, we need to comply with an extensive body of regulations that did not apply to us previously, including certain provisions of the Sarbanes-Oxley Act, the Dodd-Frank Wall Street Reform and Consumer Protection Act, regulations of the SEC and requirements of Nasdaq. These rules and regulations will increase our legal and financial compliance costs and make some activities more time-consuming and costly. For example, as a result of becoming a public company, we must have independent directors and board committees.</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stock, our stock price and trading volume could decline.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any of the analysts who may cover us downgrades our common stock or publishes inaccurate or unfavorable research about our business, our common stock price may decline. If analysts cease coverage of us or fail to regularly publish reports on us, we could lose visibility in the financial markets, which in turn could cause our common stock price or trading volume to decline and our common stock to be less liquid.</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2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may be significantly reduced due to changes in market conditions, which may cause the cost of our financing to increase relative to the income that can be derived from our assets.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Non-U.S. persons that hold or have held (actually or constructively) more than 5% of our common stock may be subject to U.S. federal income tax upon the disposition of some or all of their stock.</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a non-U.S. person has held (actually or constructively) more than 5% of our common stock at any time within the shorter of the five-year period ending on the date of a sale, exchange, or other taxable disposition of our stock or the period that such non-U.S. person held our stock, and we were considered a “USRPHC” at any time during such period because of our current or previous ownership of U.S. real property interests above a certain threshold, such non-U.S. person may be subject to U.S. tax on such disposition of such stock (and may have a U.S. tax return filing obligation). A corporation generally is a USRPHC if the fair market value of its U.S. real property interests, as defined in the Code and applicable Treasury regulations, equals or exceeds 50%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6"/>
          <w:szCs w:val="16"/>
          <w:color w:val="auto"/>
        </w:rPr>
        <w:t>the aggregate fair market value of its worldwide real property interests and its other assets used or held for use in a trade or business. We believe that we are and are likely to remain a USRPHC. If a non-U.S. person is subject to U.S. tax as described above, gain recognized on the disposition of our common stock generally will be subject to U.S. federal income tax on a net income basis in the same manner as if the non-U.S. person were a U.S. person. In addition, if we are a USRPHC and our common stock ceased to be treated as “regularly traded on an established securities market,” a non-U.S. person would generally be subject to tax in the manner described in the preceding sentence regardless of what percentage of our common stock it owned, and the transferee in any disposition would generally be required to withhold 15% of the amount realized on the disposition. Non-U.S. stockholders are urged to consult their tax advisors regarding the tax consequences of an investment in our stock.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to United States federal income tax laws could materially and adversely affect us and our stockholders.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present United States federal income tax laws may be modified, possibly with retroactive effect, by legislative, judicial, or administrative action at any time, which could affect the United States federal income tax treatment of us or an investment in our common stock. The United States federal income tax rules are constantly under review by persons involved in the legislative process, the Internal Revenue Service, and the United States Treasury Department, which results in statutory changes as well as frequent revisions to regulations and interpretations. We cannot predict how changes in the tax laws might affect us and our stockholders.</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experienced an “ownership change” for purposes of Section 382 of the Code, which limits our ability to utilize our net operating loss and certain other tax attributes to reduce our future taxable income.</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Although we currently have significant tax attributes, including significant net operating losses, our use of those attributes is subject to significant limitations as a result of the fact that we believe we underwent an “ownership change” for purposes of Section 382 of the Code in the first half of 2025. Specifically, Section 382 of the Code imposes an annual limitation on the ability of a company that undergoes an “ownership change” to utilize its net operating loss and certain built-in losses to offset taxable income earned in years after the ownership change. The Code also contains other limitations on the use of net operating losses and other tax attributes, which may impact our ability to utilize such losses and attributes. As a result of the Section 382 limitation and potentially other limitations or changes in circumstances, our use of our tax attributes may be significantly delayed, and we may not be able to use all of those attributes, potentially harming our future operating results by effectively increasing our future U.S. federal income tax obligations. In addition, we may be subject to similar or other limitations under state, local or other tax 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006EBF"/>
        </w:rPr>
        <w:t>Item 6. Exhibits</w:t>
      </w:r>
    </w:p>
    <w:p>
      <w:pPr>
        <w:spacing w:after="0" w:line="59" w:lineRule="exact"/>
        <w:rPr>
          <w:sz w:val="20"/>
          <w:szCs w:val="20"/>
          <w:color w:val="auto"/>
        </w:rPr>
      </w:pPr>
    </w:p>
    <w:p>
      <w:pPr>
        <w:ind w:left="580"/>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9803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222885"/>
                    </a:xfrm>
                    <a:prstGeom prst="rect">
                      <a:avLst/>
                    </a:prstGeom>
                    <a:noFill/>
                  </pic:spPr>
                </pic:pic>
              </a:graphicData>
            </a:graphic>
          </wp:anchor>
        </w:drawing>
      </w:r>
    </w:p>
    <w:p>
      <w:pPr>
        <w:spacing w:after="0" w:line="35" w:lineRule="exact"/>
        <w:rPr>
          <w:sz w:val="20"/>
          <w:szCs w:val="20"/>
          <w:color w:val="auto"/>
        </w:rPr>
      </w:pPr>
    </w:p>
    <w:p>
      <w:pPr>
        <w:ind w:left="1520" w:hanging="1494"/>
        <w:spacing w:after="0" w:line="252" w:lineRule="auto"/>
        <w:tabs>
          <w:tab w:leader="none" w:pos="1149" w:val="left"/>
        </w:tabs>
        <w:numPr>
          <w:ilvl w:val="0"/>
          <w:numId w:val="42"/>
        </w:numPr>
        <w:rPr>
          <w:rFonts w:ascii="Arial" w:cs="Arial" w:eastAsia="Arial" w:hAnsi="Arial"/>
          <w:sz w:val="14"/>
          <w:szCs w:val="14"/>
          <w:color w:val="0000FF"/>
        </w:rPr>
      </w:pPr>
      <w:hyperlink r:id="rId90">
        <w:r>
          <w:rPr>
            <w:rFonts w:ascii="Arial" w:cs="Arial" w:eastAsia="Arial" w:hAnsi="Arial"/>
            <w:sz w:val="14"/>
            <w:szCs w:val="14"/>
            <w:u w:val="single" w:color="auto"/>
            <w:color w:val="0000FF"/>
          </w:rPr>
          <w:t>2.1</w:t>
        </w:r>
        <w:r>
          <w:rPr>
            <w:rFonts w:ascii="Arial" w:cs="Arial" w:eastAsia="Arial" w:hAnsi="Arial"/>
            <w:sz w:val="14"/>
            <w:szCs w:val="14"/>
            <w:color w:val="0000FF"/>
          </w:rPr>
          <w:t xml:space="preserve"> </w:t>
        </w:r>
      </w:hyperlink>
      <w:r>
        <w:rPr>
          <w:rFonts w:ascii="Arial" w:cs="Arial" w:eastAsia="Arial" w:hAnsi="Arial"/>
          <w:sz w:val="14"/>
          <w:szCs w:val="14"/>
          <w:color w:val="000000"/>
        </w:rPr>
        <w:t>Separation</w:t>
      </w:r>
      <w:r>
        <w:rPr>
          <w:rFonts w:ascii="Arial" w:cs="Arial" w:eastAsia="Arial" w:hAnsi="Arial"/>
          <w:sz w:val="14"/>
          <w:szCs w:val="14"/>
          <w:color w:val="0000FF"/>
        </w:rPr>
        <w:t xml:space="preserve"> </w:t>
      </w:r>
      <w:r>
        <w:rPr>
          <w:rFonts w:ascii="Arial" w:cs="Arial" w:eastAsia="Arial" w:hAnsi="Arial"/>
          <w:sz w:val="14"/>
          <w:szCs w:val="14"/>
          <w:color w:val="000000"/>
        </w:rPr>
        <w:t>and Distribution Agreement, dated as of August 1, 2022, between FTAI Infrastructure Inc. and Fortress Transportation and Infrastructure</w:t>
      </w:r>
      <w:r>
        <w:rPr>
          <w:rFonts w:ascii="Arial" w:cs="Arial" w:eastAsia="Arial" w:hAnsi="Arial"/>
          <w:sz w:val="14"/>
          <w:szCs w:val="14"/>
          <w:color w:val="0000FF"/>
        </w:rPr>
        <w:t xml:space="preserve"> </w:t>
      </w:r>
      <w:r>
        <w:rPr>
          <w:rFonts w:ascii="Arial" w:cs="Arial" w:eastAsia="Arial" w:hAnsi="Arial"/>
          <w:sz w:val="14"/>
          <w:szCs w:val="14"/>
          <w:color w:val="000000"/>
        </w:rPr>
        <w:t>Investors LLC (incorporated by reference to Exhibit 2.1 of the Company’s Current Report on Form 8-K, filed August 1, 2022).</w:t>
      </w:r>
    </w:p>
    <w:p>
      <w:pPr>
        <w:spacing w:after="0" w:line="1" w:lineRule="exact"/>
        <w:rPr>
          <w:sz w:val="20"/>
          <w:szCs w:val="20"/>
          <w:color w:val="auto"/>
        </w:rPr>
      </w:pPr>
    </w:p>
    <w:p>
      <w:pPr>
        <w:ind w:left="1140"/>
        <w:spacing w:after="0"/>
        <w:tabs>
          <w:tab w:leader="none" w:pos="1500" w:val="left"/>
        </w:tabs>
        <w:rPr>
          <w:rFonts w:ascii="Arial" w:cs="Arial" w:eastAsia="Arial" w:hAnsi="Arial"/>
          <w:sz w:val="14"/>
          <w:szCs w:val="14"/>
          <w:color w:val="0000FF"/>
        </w:rPr>
      </w:pPr>
      <w:hyperlink r:id="rId91">
        <w:r>
          <w:rPr>
            <w:rFonts w:ascii="Arial" w:cs="Arial" w:eastAsia="Arial" w:hAnsi="Arial"/>
            <w:sz w:val="14"/>
            <w:szCs w:val="14"/>
            <w:u w:val="single" w:color="auto"/>
            <w:color w:val="0000FF"/>
          </w:rPr>
          <w:t>2.2</w:t>
        </w:r>
      </w:hyperlink>
      <w:r>
        <w:rPr>
          <w:rFonts w:ascii="Arial" w:cs="Arial" w:eastAsia="Arial" w:hAnsi="Arial"/>
          <w:sz w:val="14"/>
          <w:szCs w:val="14"/>
          <w:color w:val="0000FF"/>
        </w:rPr>
        <w:tab/>
        <w:t>Purchase Agreement, dated as of February 26, 2025, by and among FTAI Infrastructure Inc., Ohio River Partners Holdco LLC and Long Ridge Energy</w:t>
      </w:r>
    </w:p>
    <w:p>
      <w:pPr>
        <w:ind w:left="1520"/>
        <w:spacing w:after="0" w:line="231" w:lineRule="auto"/>
        <w:rPr>
          <w:sz w:val="20"/>
          <w:szCs w:val="20"/>
          <w:color w:val="auto"/>
        </w:rPr>
      </w:pPr>
      <w:r>
        <w:rPr>
          <w:rFonts w:ascii="Arial" w:cs="Arial" w:eastAsia="Arial" w:hAnsi="Arial"/>
          <w:sz w:val="14"/>
          <w:szCs w:val="14"/>
          <w:color w:val="auto"/>
        </w:rPr>
        <w:t>&amp; Power LLC, and Labor Impact Fund, L.P., Labor Impact Feeder Fund, L.P., Labor Impact Real Estate (Cayman) Holdings, L.P. and LIF LR Holdings LLC (incorporated by reference to Exhibit 2.1 of the Company’s Current Report on Form 8-K, filed February 27, 2025).</w:t>
      </w:r>
    </w:p>
    <w:p>
      <w:pPr>
        <w:spacing w:after="0" w:line="13" w:lineRule="exact"/>
        <w:rPr>
          <w:sz w:val="20"/>
          <w:szCs w:val="20"/>
          <w:color w:val="auto"/>
        </w:rPr>
      </w:pPr>
    </w:p>
    <w:p>
      <w:pPr>
        <w:ind w:left="1140" w:hanging="1485"/>
        <w:spacing w:after="0" w:line="252" w:lineRule="auto"/>
        <w:rPr>
          <w:rFonts w:ascii="Arial" w:cs="Arial" w:eastAsia="Arial" w:hAnsi="Arial"/>
          <w:sz w:val="14"/>
          <w:szCs w:val="14"/>
          <w:u w:val="single" w:color="auto"/>
          <w:color w:val="0000FF"/>
        </w:rPr>
      </w:pPr>
      <w:r>
        <w:rPr>
          <w:rFonts w:ascii="Arial" w:cs="Arial" w:eastAsia="Arial" w:hAnsi="Arial"/>
          <w:sz w:val="14"/>
          <w:szCs w:val="14"/>
          <w:i w:val="1"/>
          <w:iCs w:val="1"/>
          <w:color w:val="auto"/>
        </w:rPr>
        <w:t>*</w:t>
      </w:r>
      <w:hyperlink r:id="rId92">
        <w:r>
          <w:rPr>
            <w:rFonts w:ascii="Arial" w:cs="Arial" w:eastAsia="Arial" w:hAnsi="Arial"/>
            <w:sz w:val="14"/>
            <w:szCs w:val="14"/>
            <w:u w:val="single" w:color="auto"/>
            <w:color w:val="0000FF"/>
          </w:rPr>
          <w:t xml:space="preserve">2.3 </w:t>
        </w:r>
      </w:hyperlink>
      <w:r>
        <w:rPr>
          <w:rFonts w:ascii="Arial" w:cs="Arial" w:eastAsia="Arial" w:hAnsi="Arial"/>
          <w:sz w:val="14"/>
          <w:szCs w:val="14"/>
          <w:color w:val="000000"/>
        </w:rPr>
        <w:t>Stock</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Purchase Agreement, dated as of August 6, 2025, between Percy Acquisition LLC and WLE Management Partners, L.P. (incorporated by</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reference to Exhibit 10.1 of the Company’s Current Report on Form 8-K, filed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098030"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140"/>
        <w:spacing w:after="0"/>
        <w:tabs>
          <w:tab w:leader="none" w:pos="1500" w:val="left"/>
        </w:tabs>
        <w:rPr>
          <w:rFonts w:ascii="Arial" w:cs="Arial" w:eastAsia="Arial" w:hAnsi="Arial"/>
          <w:sz w:val="14"/>
          <w:szCs w:val="14"/>
          <w:color w:val="0000FF"/>
        </w:rPr>
      </w:pPr>
      <w:hyperlink r:id="rId94">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Conversion (incorporated by reference to Exhibit 3.1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20" w:lineRule="exact"/>
        <w:rPr>
          <w:sz w:val="20"/>
          <w:szCs w:val="20"/>
          <w:color w:val="auto"/>
        </w:rPr>
      </w:pPr>
    </w:p>
    <w:p>
      <w:pPr>
        <w:ind w:left="1520" w:hanging="370"/>
        <w:spacing w:after="0" w:line="252" w:lineRule="auto"/>
        <w:tabs>
          <w:tab w:leader="none" w:pos="1500" w:val="left"/>
        </w:tabs>
        <w:rPr>
          <w:rFonts w:ascii="Arial" w:cs="Arial" w:eastAsia="Arial" w:hAnsi="Arial"/>
          <w:sz w:val="14"/>
          <w:szCs w:val="14"/>
          <w:color w:val="0000FF"/>
        </w:rPr>
      </w:pPr>
      <w:hyperlink r:id="rId96">
        <w:r>
          <w:rPr>
            <w:rFonts w:ascii="Arial" w:cs="Arial" w:eastAsia="Arial" w:hAnsi="Arial"/>
            <w:sz w:val="14"/>
            <w:szCs w:val="14"/>
            <w:u w:val="single" w:color="auto"/>
            <w:color w:val="0000FF"/>
          </w:rPr>
          <w:t>3.2</w:t>
        </w:r>
      </w:hyperlink>
      <w:r>
        <w:rPr>
          <w:rFonts w:ascii="Arial" w:cs="Arial" w:eastAsia="Arial" w:hAnsi="Arial"/>
          <w:sz w:val="14"/>
          <w:szCs w:val="14"/>
          <w:color w:val="0000FF"/>
        </w:rPr>
        <w:tab/>
        <w:t>Amended and Restated Certificate of Incorporation of FTAI Infrastructure Inc. (incorporated by reference to Exhibit 3.2 of the Company’s Current Report on Form 8-K, filed August 1, 2022).</w:t>
      </w:r>
    </w:p>
    <w:p>
      <w:pPr>
        <w:spacing w:after="0" w:line="1" w:lineRule="exact"/>
        <w:rPr>
          <w:sz w:val="20"/>
          <w:szCs w:val="20"/>
          <w:color w:val="auto"/>
        </w:rPr>
      </w:pPr>
    </w:p>
    <w:p>
      <w:pPr>
        <w:ind w:left="1520" w:hanging="370"/>
        <w:spacing w:after="0" w:line="251" w:lineRule="auto"/>
        <w:tabs>
          <w:tab w:leader="none" w:pos="1500" w:val="left"/>
        </w:tabs>
        <w:rPr>
          <w:rFonts w:ascii="Arial" w:cs="Arial" w:eastAsia="Arial" w:hAnsi="Arial"/>
          <w:sz w:val="14"/>
          <w:szCs w:val="14"/>
          <w:color w:val="0000FF"/>
        </w:rPr>
      </w:pPr>
      <w:hyperlink r:id="rId97">
        <w:r>
          <w:rPr>
            <w:rFonts w:ascii="Arial" w:cs="Arial" w:eastAsia="Arial" w:hAnsi="Arial"/>
            <w:sz w:val="14"/>
            <w:szCs w:val="14"/>
            <w:u w:val="single" w:color="auto"/>
            <w:color w:val="0000FF"/>
          </w:rPr>
          <w:t>3.3</w:t>
        </w:r>
      </w:hyperlink>
      <w:r>
        <w:rPr>
          <w:rFonts w:ascii="Arial" w:cs="Arial" w:eastAsia="Arial" w:hAnsi="Arial"/>
          <w:sz w:val="14"/>
          <w:szCs w:val="14"/>
          <w:color w:val="0000FF"/>
        </w:rPr>
        <w:tab/>
        <w:t>Amended and Restated Bylaws of FTAI Infrastructure Inc. (incorporated by reference to Exhibit 3.3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98030" cy="2139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098030" cy="213995"/>
                    </a:xfrm>
                    <a:prstGeom prst="rect">
                      <a:avLst/>
                    </a:prstGeom>
                    <a:noFill/>
                  </pic:spPr>
                </pic:pic>
              </a:graphicData>
            </a:graphic>
          </wp:anchor>
        </w:drawing>
      </w:r>
    </w:p>
    <w:p>
      <w:pPr>
        <w:ind w:left="1520" w:hanging="370"/>
        <w:spacing w:after="0" w:line="251" w:lineRule="auto"/>
        <w:tabs>
          <w:tab w:leader="none" w:pos="1500" w:val="left"/>
        </w:tabs>
        <w:rPr>
          <w:rFonts w:ascii="Arial" w:cs="Arial" w:eastAsia="Arial" w:hAnsi="Arial"/>
          <w:sz w:val="14"/>
          <w:szCs w:val="14"/>
          <w:color w:val="0000FF"/>
        </w:rPr>
      </w:pPr>
      <w:hyperlink r:id="rId99">
        <w:r>
          <w:rPr>
            <w:rFonts w:ascii="Arial" w:cs="Arial" w:eastAsia="Arial" w:hAnsi="Arial"/>
            <w:sz w:val="14"/>
            <w:szCs w:val="14"/>
            <w:u w:val="single" w:color="auto"/>
            <w:color w:val="0000FF"/>
          </w:rPr>
          <w:t>3.4</w:t>
        </w:r>
      </w:hyperlink>
      <w:r>
        <w:rPr>
          <w:rFonts w:ascii="Arial" w:cs="Arial" w:eastAsia="Arial" w:hAnsi="Arial"/>
          <w:sz w:val="14"/>
          <w:szCs w:val="14"/>
          <w:color w:val="0000FF"/>
        </w:rPr>
        <w:tab/>
        <w:t>Certificate of Designations of Series B Convertible Junior Preferred Stock of FTAI Infrastructure Inc., dated as of February 26, 2025 (incorporated by reference to Exhibit 3.2 of the Company’s Current Report on Form 8-K, filed February 27, 2025).</w:t>
      </w:r>
    </w:p>
    <w:p>
      <w:pPr>
        <w:spacing w:after="0" w:line="1" w:lineRule="exact"/>
        <w:rPr>
          <w:sz w:val="20"/>
          <w:szCs w:val="20"/>
          <w:color w:val="auto"/>
        </w:rPr>
      </w:pPr>
    </w:p>
    <w:p>
      <w:pPr>
        <w:ind w:left="1520" w:hanging="370"/>
        <w:spacing w:after="0" w:line="251" w:lineRule="auto"/>
        <w:tabs>
          <w:tab w:leader="none" w:pos="1500" w:val="left"/>
        </w:tabs>
        <w:rPr>
          <w:rFonts w:ascii="Arial" w:cs="Arial" w:eastAsia="Arial" w:hAnsi="Arial"/>
          <w:sz w:val="14"/>
          <w:szCs w:val="14"/>
          <w:color w:val="0000FF"/>
        </w:rPr>
      </w:pPr>
      <w:hyperlink r:id="rId100">
        <w:r>
          <w:rPr>
            <w:rFonts w:ascii="Arial" w:cs="Arial" w:eastAsia="Arial" w:hAnsi="Arial"/>
            <w:sz w:val="14"/>
            <w:szCs w:val="14"/>
            <w:u w:val="single" w:color="auto"/>
            <w:color w:val="0000FF"/>
          </w:rPr>
          <w:t>4.1</w:t>
        </w:r>
      </w:hyperlink>
      <w:r>
        <w:rPr>
          <w:rFonts w:ascii="Arial" w:cs="Arial" w:eastAsia="Arial" w:hAnsi="Arial"/>
          <w:sz w:val="14"/>
          <w:szCs w:val="14"/>
          <w:color w:val="0000FF"/>
        </w:rPr>
        <w:tab/>
        <w:t>Description of Securities Registered under Section 12 of the Exchange Act (incorporated by reference to Exhibit 4.5 of the Company’s Annual Report on Form 10-K, filed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98030"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ind w:left="1140"/>
        <w:spacing w:after="0"/>
        <w:tabs>
          <w:tab w:leader="none" w:pos="1500" w:val="left"/>
        </w:tabs>
        <w:rPr>
          <w:rFonts w:ascii="Arial" w:cs="Arial" w:eastAsia="Arial" w:hAnsi="Arial"/>
          <w:sz w:val="14"/>
          <w:szCs w:val="14"/>
          <w:color w:val="0000FF"/>
        </w:rPr>
      </w:pPr>
      <w:hyperlink r:id="rId102">
        <w:r>
          <w:rPr>
            <w:rFonts w:ascii="Arial" w:cs="Arial" w:eastAsia="Arial" w:hAnsi="Arial"/>
            <w:sz w:val="14"/>
            <w:szCs w:val="14"/>
            <w:u w:val="single" w:color="auto"/>
            <w:color w:val="0000FF"/>
          </w:rPr>
          <w:t>4.2</w:t>
        </w:r>
      </w:hyperlink>
      <w:r>
        <w:rPr>
          <w:rFonts w:ascii="Arial" w:cs="Arial" w:eastAsia="Arial" w:hAnsi="Arial"/>
          <w:sz w:val="14"/>
          <w:szCs w:val="14"/>
          <w:color w:val="0000FF"/>
        </w:rPr>
        <w:tab/>
        <w:t>Indenture, dated as of February 19, 2025, among Long Ridge Energy LLC, Long Ridge Energy Generation LLC, Ohio GasCo LLC and U.S. Bank Trust</w:t>
      </w:r>
    </w:p>
    <w:p>
      <w:pPr>
        <w:ind w:left="1520"/>
        <w:spacing w:after="0" w:line="231" w:lineRule="auto"/>
        <w:rPr>
          <w:sz w:val="20"/>
          <w:szCs w:val="20"/>
          <w:color w:val="auto"/>
        </w:rPr>
      </w:pPr>
      <w:r>
        <w:rPr>
          <w:rFonts w:ascii="Arial" w:cs="Arial" w:eastAsia="Arial" w:hAnsi="Arial"/>
          <w:sz w:val="14"/>
          <w:szCs w:val="14"/>
          <w:color w:val="auto"/>
        </w:rPr>
        <w:t>Company, National Association, as trustee and collateral agent (incorporated by reference to Exhibit 4.1 of the Company’s Current Report on Form 8-K, filed February 25, 2025).</w:t>
      </w:r>
    </w:p>
    <w:p>
      <w:pPr>
        <w:spacing w:after="0" w:line="14" w:lineRule="exact"/>
        <w:rPr>
          <w:sz w:val="20"/>
          <w:szCs w:val="20"/>
          <w:color w:val="auto"/>
        </w:rPr>
      </w:pPr>
    </w:p>
    <w:p>
      <w:pPr>
        <w:ind w:left="1140"/>
        <w:spacing w:after="0"/>
        <w:tabs>
          <w:tab w:leader="none" w:pos="1500" w:val="left"/>
        </w:tabs>
        <w:rPr>
          <w:rFonts w:ascii="Arial" w:cs="Arial" w:eastAsia="Arial" w:hAnsi="Arial"/>
          <w:sz w:val="14"/>
          <w:szCs w:val="14"/>
          <w:color w:val="0000FF"/>
        </w:rPr>
      </w:pPr>
      <w:hyperlink r:id="rId102">
        <w:r>
          <w:rPr>
            <w:rFonts w:ascii="Arial" w:cs="Arial" w:eastAsia="Arial" w:hAnsi="Arial"/>
            <w:sz w:val="14"/>
            <w:szCs w:val="14"/>
            <w:u w:val="single" w:color="auto"/>
            <w:color w:val="0000FF"/>
          </w:rPr>
          <w:t>4.3</w:t>
        </w:r>
      </w:hyperlink>
      <w:r>
        <w:rPr>
          <w:rFonts w:ascii="Arial" w:cs="Arial" w:eastAsia="Arial" w:hAnsi="Arial"/>
          <w:sz w:val="14"/>
          <w:szCs w:val="14"/>
          <w:color w:val="0000FF"/>
        </w:rPr>
        <w:tab/>
        <w:t>Form of 8.750% Senior Secured Notes due 2032 (incorporated by reference to Exhibit 4.2 of the Company’s Current Report on Form 8-K, filed February</w:t>
      </w:r>
    </w:p>
    <w:p>
      <w:pPr>
        <w:spacing w:after="0" w:line="2"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98030"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520" w:hanging="450"/>
        <w:spacing w:after="0" w:line="251" w:lineRule="auto"/>
        <w:tabs>
          <w:tab w:leader="none" w:pos="1500" w:val="left"/>
        </w:tabs>
        <w:rPr>
          <w:rFonts w:ascii="Arial" w:cs="Arial" w:eastAsia="Arial" w:hAnsi="Arial"/>
          <w:sz w:val="14"/>
          <w:szCs w:val="14"/>
          <w:color w:val="0000FF"/>
        </w:rPr>
      </w:pPr>
      <w:hyperlink r:id="rId104">
        <w:r>
          <w:rPr>
            <w:rFonts w:ascii="Arial" w:cs="Arial" w:eastAsia="Arial" w:hAnsi="Arial"/>
            <w:sz w:val="14"/>
            <w:szCs w:val="14"/>
            <w:u w:val="single" w:color="auto"/>
            <w:color w:val="0000FF"/>
          </w:rPr>
          <w:t>10.1</w:t>
        </w:r>
      </w:hyperlink>
      <w:r>
        <w:rPr>
          <w:rFonts w:ascii="Arial" w:cs="Arial" w:eastAsia="Arial" w:hAnsi="Arial"/>
          <w:sz w:val="14"/>
          <w:szCs w:val="14"/>
          <w:color w:val="0000FF"/>
        </w:rPr>
        <w:tab/>
        <w:t>Amended and Restated Management and Advisory Agreement, dated as of July 31, 2022, between FTAI Infrastructure Inc. and FIG LLC (incorporated by reference to Exhibit 10.1 of the Company’s Current Report on Form 8-K, filed August 1, 2022).</w:t>
      </w:r>
    </w:p>
    <w:p>
      <w:pPr>
        <w:spacing w:after="0" w:line="1" w:lineRule="exact"/>
        <w:rPr>
          <w:sz w:val="20"/>
          <w:szCs w:val="20"/>
          <w:color w:val="auto"/>
        </w:rPr>
      </w:pPr>
    </w:p>
    <w:p>
      <w:pPr>
        <w:ind w:left="1520" w:hanging="450"/>
        <w:spacing w:after="0" w:line="251" w:lineRule="auto"/>
        <w:tabs>
          <w:tab w:leader="none" w:pos="1500" w:val="left"/>
        </w:tabs>
        <w:rPr>
          <w:rFonts w:ascii="Arial" w:cs="Arial" w:eastAsia="Arial" w:hAnsi="Arial"/>
          <w:sz w:val="14"/>
          <w:szCs w:val="14"/>
          <w:color w:val="0000FF"/>
        </w:rPr>
      </w:pPr>
      <w:hyperlink r:id="rId105">
        <w:r>
          <w:rPr>
            <w:rFonts w:ascii="Arial" w:cs="Arial" w:eastAsia="Arial" w:hAnsi="Arial"/>
            <w:sz w:val="14"/>
            <w:szCs w:val="14"/>
            <w:u w:val="single" w:color="auto"/>
            <w:color w:val="0000FF"/>
          </w:rPr>
          <w:t>10.2</w:t>
        </w:r>
      </w:hyperlink>
      <w:r>
        <w:rPr>
          <w:rFonts w:ascii="Arial" w:cs="Arial" w:eastAsia="Arial" w:hAnsi="Arial"/>
          <w:sz w:val="14"/>
          <w:szCs w:val="14"/>
          <w:color w:val="0000FF"/>
        </w:rPr>
        <w:tab/>
        <w:t>Form of Indemnification Agreement by and between FTAI Infrastructure Inc. and its directors and officers (incorporated by reference to Exhibit 10.8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98030" cy="2139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098030" cy="213995"/>
                    </a:xfrm>
                    <a:prstGeom prst="rect">
                      <a:avLst/>
                    </a:prstGeom>
                    <a:noFill/>
                  </pic:spPr>
                </pic:pic>
              </a:graphicData>
            </a:graphic>
          </wp:anchor>
        </w:drawing>
      </w:r>
    </w:p>
    <w:p>
      <w:pPr>
        <w:ind w:left="1520" w:hanging="1494"/>
        <w:spacing w:after="0" w:line="251" w:lineRule="auto"/>
        <w:tabs>
          <w:tab w:leader="none" w:pos="1069" w:val="left"/>
        </w:tabs>
        <w:numPr>
          <w:ilvl w:val="0"/>
          <w:numId w:val="44"/>
        </w:numPr>
        <w:rPr>
          <w:rFonts w:ascii="Arial" w:cs="Arial" w:eastAsia="Arial" w:hAnsi="Arial"/>
          <w:sz w:val="14"/>
          <w:szCs w:val="14"/>
          <w:color w:val="0000FF"/>
        </w:rPr>
      </w:pPr>
      <w:hyperlink r:id="rId107">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FTAI</w:t>
      </w:r>
      <w:r>
        <w:rPr>
          <w:rFonts w:ascii="Arial" w:cs="Arial" w:eastAsia="Arial" w:hAnsi="Arial"/>
          <w:sz w:val="14"/>
          <w:szCs w:val="14"/>
          <w:color w:val="0000FF"/>
        </w:rPr>
        <w:t xml:space="preserve"> </w:t>
      </w:r>
      <w:r>
        <w:rPr>
          <w:rFonts w:ascii="Arial" w:cs="Arial" w:eastAsia="Arial" w:hAnsi="Arial"/>
          <w:sz w:val="14"/>
          <w:szCs w:val="14"/>
          <w:color w:val="000000"/>
        </w:rPr>
        <w:t>Infrastructure Inc. Nonqualified Stock Option and Incentive Award Plan (incorporated by reference to Exhibit 10.4 of the Company’s Current</w:t>
      </w:r>
      <w:r>
        <w:rPr>
          <w:rFonts w:ascii="Arial" w:cs="Arial" w:eastAsia="Arial" w:hAnsi="Arial"/>
          <w:sz w:val="14"/>
          <w:szCs w:val="14"/>
          <w:color w:val="0000FF"/>
        </w:rPr>
        <w:t xml:space="preserve"> </w:t>
      </w:r>
      <w:r>
        <w:rPr>
          <w:rFonts w:ascii="Arial" w:cs="Arial" w:eastAsia="Arial" w:hAnsi="Arial"/>
          <w:sz w:val="14"/>
          <w:szCs w:val="14"/>
          <w:color w:val="000000"/>
        </w:rPr>
        <w:t>Report on Form 8-K, filed August 1, 2022).</w:t>
      </w:r>
    </w:p>
    <w:p>
      <w:pPr>
        <w:ind w:left="1520" w:hanging="1494"/>
        <w:spacing w:after="0" w:line="251" w:lineRule="auto"/>
        <w:tabs>
          <w:tab w:leader="none" w:pos="1069" w:val="left"/>
        </w:tabs>
        <w:numPr>
          <w:ilvl w:val="0"/>
          <w:numId w:val="44"/>
        </w:numPr>
        <w:rPr>
          <w:rFonts w:ascii="Arial" w:cs="Arial" w:eastAsia="Arial" w:hAnsi="Arial"/>
          <w:sz w:val="14"/>
          <w:szCs w:val="14"/>
          <w:color w:val="0000FF"/>
        </w:rPr>
      </w:pPr>
      <w:hyperlink r:id="rId108">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pursuant to the FTAI Infrastructure Inc. Nonqualified Stock Option and Incentive Award Plan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10.4 of the Company’s Registration Statement on Form 10, filed April 29, 2022).</w:t>
      </w:r>
    </w:p>
    <w:p>
      <w:pPr>
        <w:ind w:left="1520" w:hanging="1494"/>
        <w:spacing w:after="0" w:line="251" w:lineRule="auto"/>
        <w:tabs>
          <w:tab w:leader="none" w:pos="1069" w:val="left"/>
        </w:tabs>
        <w:numPr>
          <w:ilvl w:val="0"/>
          <w:numId w:val="44"/>
        </w:numPr>
        <w:rPr>
          <w:rFonts w:ascii="Arial" w:cs="Arial" w:eastAsia="Arial" w:hAnsi="Arial"/>
          <w:sz w:val="14"/>
          <w:szCs w:val="14"/>
          <w:color w:val="0000FF"/>
        </w:rPr>
      </w:pPr>
      <w:hyperlink r:id="rId109">
        <w:r>
          <w:rPr>
            <w:rFonts w:ascii="Arial" w:cs="Arial" w:eastAsia="Arial" w:hAnsi="Arial"/>
            <w:sz w:val="14"/>
            <w:szCs w:val="14"/>
            <w:u w:val="single" w:color="auto"/>
            <w:color w:val="0000FF"/>
          </w:rPr>
          <w:t>10.5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Director Award Agreement pursuant to the FTAI Infrastructure Inc. Nonqualified Stock Option and Incentive Plan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10.5 of the Company’s Registration Statement on Form 10, filed April 29,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098030"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520" w:hanging="450"/>
        <w:spacing w:after="0" w:line="251" w:lineRule="auto"/>
        <w:tabs>
          <w:tab w:leader="none" w:pos="1500"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10.6</w:t>
        </w:r>
      </w:hyperlink>
      <w:r>
        <w:rPr>
          <w:rFonts w:ascii="Arial" w:cs="Arial" w:eastAsia="Arial" w:hAnsi="Arial"/>
          <w:sz w:val="14"/>
          <w:szCs w:val="14"/>
          <w:color w:val="0000FF"/>
        </w:rPr>
        <w:tab/>
        <w:t>Registration Rights Agreement, dated as of August 1, 2022, between FTAI Infrastructure Inc., FIG LLC and Fortress Worldwide Transportation and Infrastructure Master GP LLC (incorporated by reference to Exhibit 10.2 of the Company’s Current Report on Form 8-K, filed August 1,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98030" cy="308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ind w:left="1060"/>
        <w:spacing w:after="0"/>
        <w:tabs>
          <w:tab w:leader="none" w:pos="1500"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10.7</w:t>
        </w:r>
      </w:hyperlink>
      <w:r>
        <w:rPr>
          <w:rFonts w:ascii="Arial" w:cs="Arial" w:eastAsia="Arial" w:hAnsi="Arial"/>
          <w:sz w:val="14"/>
          <w:szCs w:val="14"/>
          <w:color w:val="0000FF"/>
        </w:rPr>
        <w:tab/>
        <w:t>Engineering, Procuring and Construction Agreement dated as of February 15, 2019, between Long Ridge Energy Generation LLC and Kiewit Power</w:t>
      </w:r>
    </w:p>
    <w:p>
      <w:pPr>
        <w:ind w:left="1520"/>
        <w:spacing w:after="0" w:line="231" w:lineRule="auto"/>
        <w:rPr>
          <w:sz w:val="20"/>
          <w:szCs w:val="20"/>
          <w:color w:val="auto"/>
        </w:rPr>
      </w:pPr>
      <w:r>
        <w:rPr>
          <w:rFonts w:ascii="Arial" w:cs="Arial" w:eastAsia="Arial" w:hAnsi="Arial"/>
          <w:sz w:val="14"/>
          <w:szCs w:val="14"/>
          <w:color w:val="auto"/>
        </w:rPr>
        <w:t>Constructors Co. (incorporated by reference to Exhibit 10.17 of Fortress Transportation and Infrastructure Investors LLC’s Quarterly Report on Form 10-Q, filed on May 3, 2019).</w:t>
      </w:r>
    </w:p>
    <w:p>
      <w:pPr>
        <w:spacing w:after="0" w:line="14" w:lineRule="exact"/>
        <w:rPr>
          <w:rFonts w:ascii="Arial" w:cs="Arial" w:eastAsia="Arial" w:hAnsi="Arial"/>
          <w:sz w:val="14"/>
          <w:szCs w:val="14"/>
          <w:color w:val="auto"/>
        </w:rPr>
      </w:pPr>
    </w:p>
    <w:p>
      <w:pPr>
        <w:ind w:left="1060"/>
        <w:spacing w:after="0"/>
        <w:tabs>
          <w:tab w:leader="none" w:pos="1500" w:val="left"/>
        </w:tabs>
        <w:rPr>
          <w:rFonts w:ascii="Arial" w:cs="Arial" w:eastAsia="Arial" w:hAnsi="Arial"/>
          <w:sz w:val="14"/>
          <w:szCs w:val="14"/>
          <w:color w:val="0000FF"/>
        </w:rPr>
      </w:pPr>
      <w:hyperlink r:id="rId114">
        <w:r>
          <w:rPr>
            <w:rFonts w:ascii="Arial" w:cs="Arial" w:eastAsia="Arial" w:hAnsi="Arial"/>
            <w:sz w:val="14"/>
            <w:szCs w:val="14"/>
            <w:u w:val="single" w:color="auto"/>
            <w:color w:val="0000FF"/>
          </w:rPr>
          <w:t>10.8</w:t>
        </w:r>
      </w:hyperlink>
      <w:r>
        <w:rPr>
          <w:rFonts w:ascii="Arial" w:cs="Arial" w:eastAsia="Arial" w:hAnsi="Arial"/>
          <w:sz w:val="14"/>
          <w:szCs w:val="14"/>
          <w:color w:val="0000FF"/>
        </w:rPr>
        <w:tab/>
        <w:t>Purchase and Sale of Power Generation Equipment and Related Services Agreement dated as of February 15, 2019, between Long Ridge Energy</w:t>
      </w:r>
    </w:p>
    <w:p>
      <w:pPr>
        <w:spacing w:after="0" w:line="2" w:lineRule="exact"/>
        <w:rPr>
          <w:rFonts w:ascii="Arial" w:cs="Arial" w:eastAsia="Arial" w:hAnsi="Arial"/>
          <w:sz w:val="14"/>
          <w:szCs w:val="14"/>
          <w:color w:val="auto"/>
        </w:rPr>
      </w:pPr>
    </w:p>
    <w:p>
      <w:pPr>
        <w:ind w:left="1520"/>
        <w:spacing w:after="0" w:line="231" w:lineRule="auto"/>
        <w:rPr>
          <w:sz w:val="20"/>
          <w:szCs w:val="20"/>
          <w:color w:val="auto"/>
        </w:rPr>
      </w:pPr>
      <w:r>
        <w:rPr>
          <w:rFonts w:ascii="Arial" w:cs="Arial" w:eastAsia="Arial" w:hAnsi="Arial"/>
          <w:sz w:val="14"/>
          <w:szCs w:val="14"/>
          <w:color w:val="auto"/>
        </w:rPr>
        <w:t>Generation LLC and General Electric Company (incorporated by reference to Exhibit 10.18 of Fortress Transportation and Infrastructure Investors LLC's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9803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ind w:left="1060"/>
        <w:spacing w:after="0"/>
        <w:tabs>
          <w:tab w:leader="none" w:pos="1500" w:val="left"/>
        </w:tabs>
        <w:rPr>
          <w:rFonts w:ascii="Arial" w:cs="Arial" w:eastAsia="Arial" w:hAnsi="Arial"/>
          <w:sz w:val="14"/>
          <w:szCs w:val="14"/>
          <w:color w:val="0000FF"/>
        </w:rPr>
      </w:pPr>
      <w:hyperlink r:id="rId116">
        <w:r>
          <w:rPr>
            <w:rFonts w:ascii="Arial" w:cs="Arial" w:eastAsia="Arial" w:hAnsi="Arial"/>
            <w:sz w:val="14"/>
            <w:szCs w:val="14"/>
            <w:u w:val="single" w:color="auto"/>
            <w:color w:val="0000FF"/>
          </w:rPr>
          <w:t>10.9</w:t>
        </w:r>
      </w:hyperlink>
      <w:r>
        <w:rPr>
          <w:rFonts w:ascii="Arial" w:cs="Arial" w:eastAsia="Arial" w:hAnsi="Arial"/>
          <w:sz w:val="14"/>
          <w:szCs w:val="14"/>
          <w:color w:val="0000FF"/>
        </w:rPr>
        <w:tab/>
        <w:t>Second Amended and Restated Senior Loan Agreement, dated as of June 1, 2024 and effective as of June 20, 2024, between Jefferson 2020 Bond</w:t>
      </w:r>
    </w:p>
    <w:p>
      <w:pPr>
        <w:spacing w:after="0" w:line="2" w:lineRule="exact"/>
        <w:rPr>
          <w:rFonts w:ascii="Arial" w:cs="Arial" w:eastAsia="Arial" w:hAnsi="Arial"/>
          <w:sz w:val="14"/>
          <w:szCs w:val="14"/>
          <w:color w:val="auto"/>
        </w:rPr>
      </w:pPr>
    </w:p>
    <w:p>
      <w:pPr>
        <w:ind w:left="1520"/>
        <w:spacing w:after="0" w:line="231" w:lineRule="auto"/>
        <w:rPr>
          <w:sz w:val="20"/>
          <w:szCs w:val="20"/>
          <w:color w:val="auto"/>
        </w:rPr>
      </w:pPr>
      <w:r>
        <w:rPr>
          <w:rFonts w:ascii="Arial" w:cs="Arial" w:eastAsia="Arial" w:hAnsi="Arial"/>
          <w:sz w:val="14"/>
          <w:szCs w:val="14"/>
          <w:color w:val="auto"/>
        </w:rPr>
        <w:t>Borrower LLC and Port of Beaumont Navigation District of Jefferson County, Texas (incorporated by reference to Exhibit 10.1 of the Company’s Current Report on Form 8-K, filed June 20, 2024).</w:t>
      </w:r>
    </w:p>
    <w:p>
      <w:pPr>
        <w:spacing w:after="0" w:line="14" w:lineRule="exact"/>
        <w:rPr>
          <w:rFonts w:ascii="Arial" w:cs="Arial" w:eastAsia="Arial" w:hAnsi="Arial"/>
          <w:sz w:val="14"/>
          <w:szCs w:val="14"/>
          <w:color w:val="auto"/>
        </w:rPr>
      </w:pPr>
    </w:p>
    <w:p>
      <w:pPr>
        <w:jc w:val="both"/>
        <w:ind w:left="1520" w:hanging="530"/>
        <w:spacing w:after="0" w:line="262" w:lineRule="auto"/>
        <w:tabs>
          <w:tab w:leader="none" w:pos="1500" w:val="left"/>
        </w:tabs>
        <w:rPr>
          <w:rFonts w:ascii="Arial" w:cs="Arial" w:eastAsia="Arial" w:hAnsi="Arial"/>
          <w:sz w:val="14"/>
          <w:szCs w:val="14"/>
          <w:color w:val="0000FF"/>
        </w:rPr>
      </w:pPr>
      <w:hyperlink r:id="rId117">
        <w:r>
          <w:rPr>
            <w:rFonts w:ascii="Arial" w:cs="Arial" w:eastAsia="Arial" w:hAnsi="Arial"/>
            <w:sz w:val="14"/>
            <w:szCs w:val="14"/>
            <w:u w:val="single" w:color="auto"/>
            <w:color w:val="0000FF"/>
          </w:rPr>
          <w:t>10.10</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Fortress Transportation and Infrastructure Investors LLC’s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098030" cy="3511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098030" cy="351155"/>
                    </a:xfrm>
                    <a:prstGeom prst="rect">
                      <a:avLst/>
                    </a:prstGeom>
                    <a:noFill/>
                  </pic:spPr>
                </pic:pic>
              </a:graphicData>
            </a:graphic>
          </wp:anchor>
        </w:drawing>
      </w:r>
    </w:p>
    <w:p>
      <w:pPr>
        <w:jc w:val="both"/>
        <w:ind w:left="1520" w:hanging="519"/>
        <w:spacing w:after="0" w:line="273" w:lineRule="auto"/>
        <w:tabs>
          <w:tab w:leader="none" w:pos="1500" w:val="left"/>
        </w:tabs>
        <w:rPr>
          <w:rFonts w:ascii="Arial" w:cs="Arial" w:eastAsia="Arial" w:hAnsi="Arial"/>
          <w:sz w:val="14"/>
          <w:szCs w:val="14"/>
          <w:color w:val="0000FF"/>
        </w:rPr>
      </w:pPr>
      <w:hyperlink r:id="rId119">
        <w:r>
          <w:rPr>
            <w:rFonts w:ascii="Arial" w:cs="Arial" w:eastAsia="Arial" w:hAnsi="Arial"/>
            <w:sz w:val="14"/>
            <w:szCs w:val="14"/>
            <w:u w:val="single" w:color="auto"/>
            <w:color w:val="0000FF"/>
          </w:rPr>
          <w:t>10.11</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Fortress Transportation and Infrastructure Investors LLC’s Quarterly Report on Form 10-Q, filed on May 1, 2020).</w:t>
      </w:r>
    </w:p>
    <w:p>
      <w:pPr>
        <w:spacing w:after="0" w:line="4" w:lineRule="exact"/>
        <w:rPr>
          <w:rFonts w:ascii="Arial" w:cs="Arial" w:eastAsia="Arial" w:hAnsi="Arial"/>
          <w:sz w:val="14"/>
          <w:szCs w:val="14"/>
          <w:color w:val="auto"/>
        </w:rPr>
      </w:pPr>
    </w:p>
    <w:p>
      <w:pPr>
        <w:jc w:val="both"/>
        <w:ind w:left="1520" w:hanging="530"/>
        <w:spacing w:after="0" w:line="263" w:lineRule="auto"/>
        <w:tabs>
          <w:tab w:leader="none" w:pos="1500" w:val="left"/>
        </w:tabs>
        <w:rPr>
          <w:rFonts w:ascii="Arial" w:cs="Arial" w:eastAsia="Arial" w:hAnsi="Arial"/>
          <w:sz w:val="14"/>
          <w:szCs w:val="14"/>
          <w:color w:val="0000FF"/>
        </w:rPr>
      </w:pPr>
      <w:hyperlink r:id="rId120">
        <w:r>
          <w:rPr>
            <w:rFonts w:ascii="Arial" w:cs="Arial" w:eastAsia="Arial" w:hAnsi="Arial"/>
            <w:sz w:val="14"/>
            <w:szCs w:val="14"/>
            <w:u w:val="single" w:color="auto"/>
            <w:color w:val="0000FF"/>
          </w:rPr>
          <w:t>10.12</w:t>
        </w:r>
      </w:hyperlink>
      <w:r>
        <w:rPr>
          <w:rFonts w:ascii="Arial" w:cs="Arial" w:eastAsia="Arial" w:hAnsi="Arial"/>
          <w:sz w:val="14"/>
          <w:szCs w:val="14"/>
          <w:color w:val="0000FF"/>
        </w:rPr>
        <w:tab/>
        <w:t>Facilities Lease and Development Agreement, dated as of June 1, 2024 and effective as of June 20, 2024, between Jefferson 2020 Bond Lessee LLC and Port of Beaumont Navigation District of Jefferson County, Texas (incorporated by reference to Exhibit 10.2 of the Company’s Current Report on Form 8-K, filed June 20, 2024).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98030" cy="342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098030" cy="342900"/>
                    </a:xfrm>
                    <a:prstGeom prst="rect">
                      <a:avLst/>
                    </a:prstGeom>
                    <a:noFill/>
                  </pic:spPr>
                </pic:pic>
              </a:graphicData>
            </a:graphic>
          </wp:anchor>
        </w:drawing>
      </w:r>
    </w:p>
    <w:p>
      <w:pPr>
        <w:jc w:val="both"/>
        <w:ind w:left="1520" w:hanging="530"/>
        <w:spacing w:after="0" w:line="263" w:lineRule="auto"/>
        <w:tabs>
          <w:tab w:leader="none" w:pos="1500" w:val="left"/>
        </w:tabs>
        <w:rPr>
          <w:rFonts w:ascii="Arial" w:cs="Arial" w:eastAsia="Arial" w:hAnsi="Arial"/>
          <w:sz w:val="14"/>
          <w:szCs w:val="14"/>
          <w:color w:val="0000FF"/>
        </w:rPr>
      </w:pPr>
      <w:hyperlink r:id="rId122">
        <w:r>
          <w:rPr>
            <w:rFonts w:ascii="Arial" w:cs="Arial" w:eastAsia="Arial" w:hAnsi="Arial"/>
            <w:sz w:val="14"/>
            <w:szCs w:val="14"/>
            <w:u w:val="single" w:color="auto"/>
            <w:color w:val="0000FF"/>
          </w:rPr>
          <w:t>10.13</w:t>
        </w:r>
      </w:hyperlink>
      <w:r>
        <w:rPr>
          <w:rFonts w:ascii="Arial" w:cs="Arial" w:eastAsia="Arial" w:hAnsi="Arial"/>
          <w:sz w:val="14"/>
          <w:szCs w:val="14"/>
          <w:color w:val="0000FF"/>
        </w:rPr>
        <w:tab/>
        <w:t>Deed of Trust, Security Agreement, Financing Statement and Fixture Filing (JTS Port Property), dated as of June 20, 2024, executed and delivered by Jefferson 2020 Bond Lessee LLC and Jefferson 2020 Bond Borrower LLC, in favor of the trustee named therein for the benefit of the Collateral Agent on behalf of the owners of the Securities (incorporated by reference to Exhibit 10.3 of the Company’s Current Report on Form 8-K, filed June 20, 2024).</w:t>
      </w:r>
    </w:p>
    <w:p>
      <w:pPr>
        <w:spacing w:after="0" w:line="11" w:lineRule="exact"/>
        <w:rPr>
          <w:rFonts w:ascii="Arial" w:cs="Arial" w:eastAsia="Arial" w:hAnsi="Arial"/>
          <w:sz w:val="14"/>
          <w:szCs w:val="14"/>
          <w:color w:val="auto"/>
        </w:rPr>
      </w:pPr>
    </w:p>
    <w:p>
      <w:pPr>
        <w:jc w:val="both"/>
        <w:ind w:left="1520" w:hanging="530"/>
        <w:spacing w:after="0" w:line="271" w:lineRule="auto"/>
        <w:tabs>
          <w:tab w:leader="none" w:pos="1500" w:val="left"/>
        </w:tabs>
        <w:rPr>
          <w:rFonts w:ascii="Arial" w:cs="Arial" w:eastAsia="Arial" w:hAnsi="Arial"/>
          <w:sz w:val="14"/>
          <w:szCs w:val="14"/>
          <w:color w:val="0000FF"/>
        </w:rPr>
      </w:pPr>
      <w:hyperlink r:id="rId123">
        <w:r>
          <w:rPr>
            <w:rFonts w:ascii="Arial" w:cs="Arial" w:eastAsia="Arial" w:hAnsi="Arial"/>
            <w:sz w:val="14"/>
            <w:szCs w:val="14"/>
            <w:u w:val="single" w:color="auto"/>
            <w:color w:val="0000FF"/>
          </w:rPr>
          <w:t>10.14</w:t>
        </w:r>
      </w:hyperlink>
      <w:r>
        <w:rPr>
          <w:rFonts w:ascii="Arial" w:cs="Arial" w:eastAsia="Arial" w:hAnsi="Arial"/>
          <w:sz w:val="14"/>
          <w:szCs w:val="14"/>
          <w:color w:val="0000FF"/>
        </w:rPr>
        <w:tab/>
        <w:t>Membership Interest Purchase Agreement, dated June 7, 2021, by and between United States Steel Corporation and Percy Acquisition LLC (incorporated by reference to Exhibit 10.1 of Fortress Transportation and Infrastructure Investors LLC’s Current Report on Form 8-K, filed on June 8, 2021).</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7" w:lineRule="exact"/>
        <w:rPr>
          <w:rFonts w:ascii="Arial" w:cs="Arial" w:eastAsia="Arial" w:hAnsi="Arial"/>
          <w:sz w:val="14"/>
          <w:szCs w:val="14"/>
          <w:color w:val="auto"/>
        </w:rPr>
      </w:pPr>
    </w:p>
    <w:p>
      <w:pPr>
        <w:jc w:val="center"/>
        <w:ind w:right="-79"/>
        <w:spacing w:after="0"/>
        <w:rPr>
          <w:sz w:val="20"/>
          <w:szCs w:val="20"/>
          <w:color w:val="auto"/>
        </w:rPr>
      </w:pPr>
      <w:r>
        <w:rPr>
          <w:rFonts w:ascii="Arial" w:cs="Arial" w:eastAsia="Arial" w:hAnsi="Arial"/>
          <w:sz w:val="16"/>
          <w:szCs w:val="16"/>
          <w:color w:val="auto"/>
        </w:rPr>
        <w:t>72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72" w:name="page73"/>
    <w:bookmarkEnd w:id="72"/>
    <w:p>
      <w:pPr>
        <w:ind w:left="554"/>
        <w:spacing w:after="0"/>
        <w:tabs>
          <w:tab w:leader="none" w:pos="589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98030" cy="4546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098030" cy="454660"/>
                    </a:xfrm>
                    <a:prstGeom prst="rect">
                      <a:avLst/>
                    </a:prstGeom>
                    <a:noFill/>
                  </pic:spPr>
                </pic:pic>
              </a:graphicData>
            </a:graphic>
          </wp:anchor>
        </w:drawing>
      </w:r>
    </w:p>
    <w:p>
      <w:pPr>
        <w:spacing w:after="0" w:line="35" w:lineRule="exact"/>
        <w:rPr>
          <w:sz w:val="20"/>
          <w:szCs w:val="20"/>
          <w:color w:val="auto"/>
        </w:rPr>
      </w:pPr>
    </w:p>
    <w:p>
      <w:pPr>
        <w:jc w:val="both"/>
        <w:ind w:left="1494" w:hanging="530"/>
        <w:spacing w:after="0" w:line="256" w:lineRule="auto"/>
        <w:tabs>
          <w:tab w:leader="none" w:pos="1474" w:val="left"/>
        </w:tabs>
        <w:rPr>
          <w:rFonts w:ascii="Arial" w:cs="Arial" w:eastAsia="Arial" w:hAnsi="Arial"/>
          <w:sz w:val="14"/>
          <w:szCs w:val="14"/>
          <w:color w:val="0000FF"/>
        </w:rPr>
      </w:pPr>
      <w:hyperlink r:id="rId126">
        <w:r>
          <w:rPr>
            <w:rFonts w:ascii="Arial" w:cs="Arial" w:eastAsia="Arial" w:hAnsi="Arial"/>
            <w:sz w:val="14"/>
            <w:szCs w:val="14"/>
            <w:u w:val="single" w:color="auto"/>
            <w:color w:val="0000FF"/>
          </w:rPr>
          <w:t>10.15</w:t>
        </w:r>
      </w:hyperlink>
      <w:r>
        <w:rPr>
          <w:rFonts w:ascii="Arial" w:cs="Arial" w:eastAsia="Arial" w:hAnsi="Arial"/>
          <w:sz w:val="14"/>
          <w:szCs w:val="14"/>
          <w:color w:val="0000FF"/>
        </w:rPr>
        <w:tab/>
        <w:t>Railway Services Agreement, dated July 28, 2021, by and among United States Steel Corporation, Transtar, LLC, Delray Connecting Railroad Company, Fairfield Southern Company, Inc., Gary Railway Company, Lake Terminal Railroad Company, Texas &amp; Northern Railroad Company and Union Railroad Company, LLC (incorporated by reference to Exhibit 10.22 of Fortress Transportation and Infrastructure Investors LLC’s Quarterly Report on Form 10-Q, filed on July 29, 2021).</w:t>
      </w:r>
    </w:p>
    <w:p>
      <w:pPr>
        <w:spacing w:after="0" w:line="15" w:lineRule="exact"/>
        <w:rPr>
          <w:sz w:val="20"/>
          <w:szCs w:val="20"/>
          <w:color w:val="auto"/>
        </w:rPr>
      </w:pPr>
    </w:p>
    <w:p>
      <w:pPr>
        <w:ind w:left="1494" w:hanging="1494"/>
        <w:spacing w:after="0" w:line="281" w:lineRule="auto"/>
        <w:tabs>
          <w:tab w:leader="none" w:pos="963" w:val="left"/>
        </w:tabs>
        <w:numPr>
          <w:ilvl w:val="0"/>
          <w:numId w:val="45"/>
        </w:numPr>
        <w:rPr>
          <w:rFonts w:ascii="Arial" w:cs="Arial" w:eastAsia="Arial" w:hAnsi="Arial"/>
          <w:sz w:val="14"/>
          <w:szCs w:val="14"/>
          <w:color w:val="0000FF"/>
        </w:rPr>
      </w:pPr>
      <w:hyperlink r:id="rId127">
        <w:r>
          <w:rPr>
            <w:rFonts w:ascii="Arial" w:cs="Arial" w:eastAsia="Arial" w:hAnsi="Arial"/>
            <w:sz w:val="14"/>
            <w:szCs w:val="14"/>
            <w:u w:val="single" w:color="auto"/>
            <w:color w:val="0000FF"/>
          </w:rPr>
          <w:t>10.16</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Subscription Agreement (incorporated by reference to Exhibit 10.17 of Amendment No. 2 to the Company’s Registration Statement on Form</w:t>
      </w:r>
      <w:r>
        <w:rPr>
          <w:rFonts w:ascii="Arial" w:cs="Arial" w:eastAsia="Arial" w:hAnsi="Arial"/>
          <w:sz w:val="14"/>
          <w:szCs w:val="14"/>
          <w:color w:val="0000FF"/>
        </w:rPr>
        <w:t xml:space="preserve"> </w:t>
      </w:r>
      <w:r>
        <w:rPr>
          <w:rFonts w:ascii="Arial" w:cs="Arial" w:eastAsia="Arial" w:hAnsi="Arial"/>
          <w:sz w:val="14"/>
          <w:szCs w:val="14"/>
          <w:color w:val="000000"/>
        </w:rPr>
        <w:t>10, filed 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wp:posOffset>
            </wp:positionV>
            <wp:extent cx="709803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098030" cy="240030"/>
                    </a:xfrm>
                    <a:prstGeom prst="rect">
                      <a:avLst/>
                    </a:prstGeom>
                    <a:noFill/>
                  </pic:spPr>
                </pic:pic>
              </a:graphicData>
            </a:graphic>
          </wp:anchor>
        </w:drawing>
      </w:r>
    </w:p>
    <w:p>
      <w:pPr>
        <w:ind w:left="954"/>
        <w:spacing w:after="0"/>
        <w:tabs>
          <w:tab w:leader="none" w:pos="1474" w:val="left"/>
        </w:tabs>
        <w:rPr>
          <w:rFonts w:ascii="Arial" w:cs="Arial" w:eastAsia="Arial" w:hAnsi="Arial"/>
          <w:sz w:val="14"/>
          <w:szCs w:val="14"/>
          <w:color w:val="0000FF"/>
        </w:rPr>
      </w:pPr>
      <w:hyperlink r:id="rId129">
        <w:r>
          <w:rPr>
            <w:rFonts w:ascii="Arial" w:cs="Arial" w:eastAsia="Arial" w:hAnsi="Arial"/>
            <w:sz w:val="14"/>
            <w:szCs w:val="14"/>
            <w:u w:val="single" w:color="auto"/>
            <w:color w:val="0000FF"/>
          </w:rPr>
          <w:t>10.17</w:t>
        </w:r>
      </w:hyperlink>
      <w:r>
        <w:rPr>
          <w:rFonts w:ascii="Arial" w:cs="Arial" w:eastAsia="Arial" w:hAnsi="Arial"/>
          <w:sz w:val="14"/>
          <w:szCs w:val="14"/>
          <w:color w:val="0000FF"/>
        </w:rPr>
        <w:tab/>
        <w:t>Investor Rights Agreement, dated August 1, 2022, between FTAI Infrastructure Inc. and the parties listed thereto (incorporated by reference to Exhibit</w:t>
      </w:r>
    </w:p>
    <w:p>
      <w:pPr>
        <w:spacing w:after="0" w:line="15" w:lineRule="exact"/>
        <w:rPr>
          <w:sz w:val="20"/>
          <w:szCs w:val="20"/>
          <w:color w:val="auto"/>
        </w:rPr>
      </w:pPr>
    </w:p>
    <w:p>
      <w:pPr>
        <w:ind w:left="1494"/>
        <w:spacing w:after="0"/>
        <w:rPr>
          <w:sz w:val="20"/>
          <w:szCs w:val="20"/>
          <w:color w:val="auto"/>
        </w:rPr>
      </w:pPr>
      <w:r>
        <w:rPr>
          <w:rFonts w:ascii="Arial" w:cs="Arial" w:eastAsia="Arial" w:hAnsi="Arial"/>
          <w:sz w:val="14"/>
          <w:szCs w:val="14"/>
          <w:color w:val="auto"/>
        </w:rPr>
        <w:t>10.6 of the Company’s Current Report on Form 8-K, filed August 1, 2022).</w:t>
      </w:r>
    </w:p>
    <w:p>
      <w:pPr>
        <w:spacing w:after="0" w:line="41" w:lineRule="exact"/>
        <w:rPr>
          <w:sz w:val="20"/>
          <w:szCs w:val="20"/>
          <w:color w:val="auto"/>
        </w:rPr>
      </w:pPr>
    </w:p>
    <w:p>
      <w:pPr>
        <w:ind w:left="1494" w:hanging="530"/>
        <w:spacing w:after="0" w:line="281" w:lineRule="auto"/>
        <w:tabs>
          <w:tab w:leader="none" w:pos="1474" w:val="left"/>
        </w:tabs>
        <w:rPr>
          <w:rFonts w:ascii="Arial" w:cs="Arial" w:eastAsia="Arial" w:hAnsi="Arial"/>
          <w:sz w:val="14"/>
          <w:szCs w:val="14"/>
          <w:color w:val="0000FF"/>
        </w:rPr>
      </w:pPr>
      <w:hyperlink r:id="rId130">
        <w:r>
          <w:rPr>
            <w:rFonts w:ascii="Arial" w:cs="Arial" w:eastAsia="Arial" w:hAnsi="Arial"/>
            <w:sz w:val="14"/>
            <w:szCs w:val="14"/>
            <w:u w:val="single" w:color="auto"/>
            <w:color w:val="0000FF"/>
          </w:rPr>
          <w:t>10.18</w:t>
        </w:r>
      </w:hyperlink>
      <w:r>
        <w:rPr>
          <w:rFonts w:ascii="Arial" w:cs="Arial" w:eastAsia="Arial" w:hAnsi="Arial"/>
          <w:sz w:val="14"/>
          <w:szCs w:val="14"/>
          <w:color w:val="0000FF"/>
        </w:rPr>
        <w:tab/>
        <w:t>Warrant Agreement, dated August 1, 2022, between FTAI Infrastructure Inc. and American Stock Transfer &amp; Trust Company, LLC, as warrant agent (incorporated by reference to Exhibit 10.5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wp:posOffset>
            </wp:positionV>
            <wp:extent cx="709803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494" w:hanging="530"/>
        <w:spacing w:after="0" w:line="252" w:lineRule="auto"/>
        <w:tabs>
          <w:tab w:leader="none" w:pos="1474" w:val="left"/>
        </w:tabs>
        <w:rPr>
          <w:rFonts w:ascii="Arial" w:cs="Arial" w:eastAsia="Arial" w:hAnsi="Arial"/>
          <w:sz w:val="14"/>
          <w:szCs w:val="14"/>
          <w:color w:val="0000FF"/>
        </w:rPr>
      </w:pPr>
      <w:hyperlink r:id="rId132">
        <w:r>
          <w:rPr>
            <w:rFonts w:ascii="Arial" w:cs="Arial" w:eastAsia="Arial" w:hAnsi="Arial"/>
            <w:sz w:val="14"/>
            <w:szCs w:val="14"/>
            <w:u w:val="single" w:color="auto"/>
            <w:color w:val="0000FF"/>
          </w:rPr>
          <w:t>10.19</w:t>
        </w:r>
      </w:hyperlink>
      <w:r>
        <w:rPr>
          <w:rFonts w:ascii="Arial" w:cs="Arial" w:eastAsia="Arial" w:hAnsi="Arial"/>
          <w:sz w:val="14"/>
          <w:szCs w:val="14"/>
          <w:color w:val="0000FF"/>
        </w:rPr>
        <w:tab/>
        <w:t>Trademark License Agreement, dated as of August 1, 2022, between Fortress Transportation and Infrastructure Investors LLC and FTAI Infrastructure Inc. (incorporated by reference to Exhibit 10.3 of the Company’s Current Report on Form 8-K, filed August 1, 2022).</w:t>
      </w:r>
    </w:p>
    <w:p>
      <w:pPr>
        <w:spacing w:after="0" w:line="1" w:lineRule="exact"/>
        <w:rPr>
          <w:sz w:val="20"/>
          <w:szCs w:val="20"/>
          <w:color w:val="auto"/>
        </w:rPr>
      </w:pPr>
    </w:p>
    <w:p>
      <w:pPr>
        <w:ind w:left="1494" w:hanging="530"/>
        <w:spacing w:after="0" w:line="251" w:lineRule="auto"/>
        <w:tabs>
          <w:tab w:leader="none" w:pos="1474" w:val="left"/>
        </w:tabs>
        <w:rPr>
          <w:rFonts w:ascii="Arial" w:cs="Arial" w:eastAsia="Arial" w:hAnsi="Arial"/>
          <w:sz w:val="14"/>
          <w:szCs w:val="14"/>
          <w:color w:val="0000FF"/>
        </w:rPr>
      </w:pPr>
      <w:hyperlink r:id="rId133">
        <w:r>
          <w:rPr>
            <w:rFonts w:ascii="Arial" w:cs="Arial" w:eastAsia="Arial" w:hAnsi="Arial"/>
            <w:sz w:val="14"/>
            <w:szCs w:val="14"/>
            <w:u w:val="single" w:color="auto"/>
            <w:color w:val="0000FF"/>
          </w:rPr>
          <w:t>10.20</w:t>
        </w:r>
      </w:hyperlink>
      <w:r>
        <w:rPr>
          <w:rFonts w:ascii="Arial" w:cs="Arial" w:eastAsia="Arial" w:hAnsi="Arial"/>
          <w:sz w:val="14"/>
          <w:szCs w:val="14"/>
          <w:color w:val="0000FF"/>
        </w:rPr>
        <w:tab/>
        <w:t>Form of Letter sent to FTAI’s option holders describing the equitable adjustment to FTAI’s options (incorporated by reference to Exhibit 10.7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wp:posOffset>
            </wp:positionV>
            <wp:extent cx="709803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ind w:left="954"/>
        <w:spacing w:after="0"/>
        <w:tabs>
          <w:tab w:leader="none" w:pos="1474" w:val="left"/>
        </w:tabs>
        <w:rPr>
          <w:rFonts w:ascii="Arial" w:cs="Arial" w:eastAsia="Arial" w:hAnsi="Arial"/>
          <w:sz w:val="14"/>
          <w:szCs w:val="14"/>
          <w:color w:val="0000FF"/>
        </w:rPr>
      </w:pPr>
      <w:hyperlink r:id="rId135">
        <w:r>
          <w:rPr>
            <w:rFonts w:ascii="Arial" w:cs="Arial" w:eastAsia="Arial" w:hAnsi="Arial"/>
            <w:sz w:val="14"/>
            <w:szCs w:val="14"/>
            <w:u w:val="single" w:color="auto"/>
            <w:color w:val="0000FF"/>
          </w:rPr>
          <w:t>10.21</w:t>
        </w:r>
      </w:hyperlink>
      <w:r>
        <w:rPr>
          <w:rFonts w:ascii="Arial" w:cs="Arial" w:eastAsia="Arial" w:hAnsi="Arial"/>
          <w:sz w:val="14"/>
          <w:szCs w:val="14"/>
          <w:color w:val="0000FF"/>
        </w:rPr>
        <w:tab/>
        <w:t>Investor Rights Agreement, dated as of February 26, 2025, by and among FTAI Infrastructure Inc., Labor Impact Fund, L.P., LIF AIV 1, L.P., Labor</w:t>
      </w:r>
    </w:p>
    <w:p>
      <w:pPr>
        <w:ind w:left="1494"/>
        <w:spacing w:after="0" w:line="231" w:lineRule="auto"/>
        <w:rPr>
          <w:sz w:val="20"/>
          <w:szCs w:val="20"/>
          <w:color w:val="auto"/>
        </w:rPr>
      </w:pPr>
      <w:r>
        <w:rPr>
          <w:rFonts w:ascii="Arial" w:cs="Arial" w:eastAsia="Arial" w:hAnsi="Arial"/>
          <w:sz w:val="14"/>
          <w:szCs w:val="14"/>
          <w:color w:val="auto"/>
        </w:rPr>
        <w:t>Impact Feeder Fund, L.P. and Labor Impact Real Estate (Cayman) Holdings, L.P (incorporated by reference to Exhibit 10.1 of the Company’s Current Report on Form 8-K, filed February 27, 2025).</w:t>
      </w:r>
    </w:p>
    <w:p>
      <w:pPr>
        <w:spacing w:after="0" w:line="14" w:lineRule="exact"/>
        <w:rPr>
          <w:sz w:val="20"/>
          <w:szCs w:val="20"/>
          <w:color w:val="auto"/>
        </w:rPr>
      </w:pPr>
    </w:p>
    <w:p>
      <w:pPr>
        <w:ind w:left="954"/>
        <w:spacing w:after="0"/>
        <w:tabs>
          <w:tab w:leader="none" w:pos="1474" w:val="left"/>
        </w:tabs>
        <w:rPr>
          <w:rFonts w:ascii="Arial" w:cs="Arial" w:eastAsia="Arial" w:hAnsi="Arial"/>
          <w:sz w:val="14"/>
          <w:szCs w:val="14"/>
          <w:color w:val="0000FF"/>
        </w:rPr>
      </w:pPr>
      <w:hyperlink r:id="rId136">
        <w:r>
          <w:rPr>
            <w:rFonts w:ascii="Arial" w:cs="Arial" w:eastAsia="Arial" w:hAnsi="Arial"/>
            <w:sz w:val="14"/>
            <w:szCs w:val="14"/>
            <w:u w:val="single" w:color="auto"/>
            <w:color w:val="0000FF"/>
          </w:rPr>
          <w:t>10.22</w:t>
        </w:r>
      </w:hyperlink>
      <w:r>
        <w:rPr>
          <w:rFonts w:ascii="Arial" w:cs="Arial" w:eastAsia="Arial" w:hAnsi="Arial"/>
          <w:sz w:val="14"/>
          <w:szCs w:val="14"/>
          <w:color w:val="0000FF"/>
        </w:rPr>
        <w:tab/>
        <w:t>Amended and Restated Warrant Agreement, dated as of February 26, 2025, by and between FTAI Infrastructure Inc. and Equiniti Trust Company, LLC</w:t>
      </w:r>
    </w:p>
    <w:p>
      <w:pPr>
        <w:spacing w:after="0" w:line="2" w:lineRule="exact"/>
        <w:rPr>
          <w:sz w:val="20"/>
          <w:szCs w:val="20"/>
          <w:color w:val="auto"/>
        </w:rPr>
      </w:pPr>
    </w:p>
    <w:p>
      <w:pPr>
        <w:ind w:left="1494"/>
        <w:spacing w:after="0" w:line="231" w:lineRule="auto"/>
        <w:rPr>
          <w:sz w:val="20"/>
          <w:szCs w:val="20"/>
          <w:color w:val="auto"/>
        </w:rPr>
      </w:pPr>
      <w:r>
        <w:rPr>
          <w:rFonts w:ascii="Arial" w:cs="Arial" w:eastAsia="Arial" w:hAnsi="Arial"/>
          <w:sz w:val="14"/>
          <w:szCs w:val="14"/>
          <w:color w:val="auto"/>
        </w:rPr>
        <w:t>(f/k/a American Stock Transfer &amp; Trust Company, LLC) (incorporated by reference to Exhibit 10.2 of the Company’s Current Report on Form 8-K, filed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7098030" cy="402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098030" cy="402590"/>
                    </a:xfrm>
                    <a:prstGeom prst="rect">
                      <a:avLst/>
                    </a:prstGeom>
                    <a:noFill/>
                  </pic:spPr>
                </pic:pic>
              </a:graphicData>
            </a:graphic>
          </wp:anchor>
        </w:drawing>
      </w:r>
    </w:p>
    <w:p>
      <w:pPr>
        <w:ind w:left="954"/>
        <w:spacing w:after="0"/>
        <w:tabs>
          <w:tab w:leader="none" w:pos="1474" w:val="left"/>
        </w:tabs>
        <w:rPr>
          <w:rFonts w:ascii="Arial" w:cs="Arial" w:eastAsia="Arial" w:hAnsi="Arial"/>
          <w:sz w:val="14"/>
          <w:szCs w:val="14"/>
          <w:color w:val="0000FF"/>
        </w:rPr>
      </w:pPr>
      <w:hyperlink r:id="rId138">
        <w:r>
          <w:rPr>
            <w:rFonts w:ascii="Arial" w:cs="Arial" w:eastAsia="Arial" w:hAnsi="Arial"/>
            <w:sz w:val="14"/>
            <w:szCs w:val="14"/>
            <w:u w:val="single" w:color="auto"/>
            <w:color w:val="0000FF"/>
          </w:rPr>
          <w:t>10.23</w:t>
        </w:r>
      </w:hyperlink>
      <w:r>
        <w:rPr>
          <w:rFonts w:ascii="Arial" w:cs="Arial" w:eastAsia="Arial" w:hAnsi="Arial"/>
          <w:sz w:val="14"/>
          <w:szCs w:val="14"/>
          <w:color w:val="0000FF"/>
        </w:rPr>
        <w:tab/>
        <w:t>Credit Agreement, dated as of February 19, 2025, among Long Ridge Energy LLC, Long Ridge Energy Generation LLC, Ohio GasCo LC, Citizens</w:t>
      </w:r>
    </w:p>
    <w:p>
      <w:pPr>
        <w:spacing w:after="0" w:line="2" w:lineRule="exact"/>
        <w:rPr>
          <w:sz w:val="20"/>
          <w:szCs w:val="20"/>
          <w:color w:val="auto"/>
        </w:rPr>
      </w:pPr>
    </w:p>
    <w:p>
      <w:pPr>
        <w:ind w:left="1494"/>
        <w:spacing w:after="0" w:line="211" w:lineRule="auto"/>
        <w:rPr>
          <w:sz w:val="20"/>
          <w:szCs w:val="20"/>
          <w:color w:val="auto"/>
        </w:rPr>
      </w:pPr>
      <w:r>
        <w:rPr>
          <w:rFonts w:ascii="Arial" w:cs="Arial" w:eastAsia="Arial" w:hAnsi="Arial"/>
          <w:sz w:val="14"/>
          <w:szCs w:val="14"/>
          <w:color w:val="auto"/>
        </w:rPr>
        <w:t>Bank, N.A., as Administrative Agent, U.S. Bank Trust Company, National Association, as collateral agent, Morgan Stanley Senior Funding, Inc., as sole lead arranger and bookrunner, and the various lenders party thereto (incorporated by reference to Exhibit 10.1 of the Company’s Current Report on</w:t>
      </w:r>
    </w:p>
    <w:p>
      <w:pPr>
        <w:ind w:left="1494"/>
        <w:spacing w:after="0"/>
        <w:rPr>
          <w:sz w:val="20"/>
          <w:szCs w:val="20"/>
          <w:color w:val="auto"/>
        </w:rPr>
      </w:pPr>
      <w:r>
        <w:rPr>
          <w:rFonts w:ascii="Arial" w:cs="Arial" w:eastAsia="Arial" w:hAnsi="Arial"/>
          <w:sz w:val="14"/>
          <w:szCs w:val="14"/>
          <w:color w:val="auto"/>
        </w:rPr>
        <w:t>Form 8-K, filed February 25, 2025).</w:t>
      </w:r>
    </w:p>
    <w:p>
      <w:pPr>
        <w:spacing w:after="0" w:line="28" w:lineRule="exact"/>
        <w:rPr>
          <w:sz w:val="20"/>
          <w:szCs w:val="20"/>
          <w:color w:val="auto"/>
        </w:rPr>
      </w:pPr>
    </w:p>
    <w:p>
      <w:pPr>
        <w:ind w:left="1494" w:hanging="1494"/>
        <w:spacing w:after="0" w:line="235" w:lineRule="auto"/>
        <w:tabs>
          <w:tab w:leader="none" w:pos="963" w:val="left"/>
        </w:tabs>
        <w:numPr>
          <w:ilvl w:val="0"/>
          <w:numId w:val="46"/>
        </w:numPr>
        <w:rPr>
          <w:rFonts w:ascii="Arial" w:cs="Arial" w:eastAsia="Arial" w:hAnsi="Arial"/>
          <w:sz w:val="14"/>
          <w:szCs w:val="14"/>
          <w:color w:val="0000FF"/>
        </w:rPr>
      </w:pPr>
      <w:hyperlink r:id="rId139">
        <w:r>
          <w:rPr>
            <w:rFonts w:ascii="Arial" w:cs="Arial" w:eastAsia="Arial" w:hAnsi="Arial"/>
            <w:sz w:val="14"/>
            <w:szCs w:val="14"/>
            <w:u w:val="single" w:color="auto"/>
            <w:color w:val="0000FF"/>
          </w:rPr>
          <w:t>10.24</w:t>
        </w:r>
        <w:r>
          <w:rPr>
            <w:rFonts w:ascii="Arial" w:cs="Arial" w:eastAsia="Arial" w:hAnsi="Arial"/>
            <w:sz w:val="14"/>
            <w:szCs w:val="14"/>
            <w:color w:val="0000FF"/>
          </w:rPr>
          <w:t xml:space="preserve"> </w:t>
        </w:r>
      </w:hyperlink>
      <w:r>
        <w:rPr>
          <w:rFonts w:ascii="Arial" w:cs="Arial" w:eastAsia="Arial" w:hAnsi="Arial"/>
          <w:sz w:val="14"/>
          <w:szCs w:val="14"/>
          <w:color w:val="000000"/>
        </w:rPr>
        <w:t>Collateral</w:t>
      </w:r>
      <w:r>
        <w:rPr>
          <w:rFonts w:ascii="Arial" w:cs="Arial" w:eastAsia="Arial" w:hAnsi="Arial"/>
          <w:sz w:val="14"/>
          <w:szCs w:val="14"/>
          <w:color w:val="0000FF"/>
        </w:rPr>
        <w:t xml:space="preserve"> </w:t>
      </w:r>
      <w:r>
        <w:rPr>
          <w:rFonts w:ascii="Arial" w:cs="Arial" w:eastAsia="Arial" w:hAnsi="Arial"/>
          <w:sz w:val="14"/>
          <w:szCs w:val="14"/>
          <w:color w:val="000000"/>
        </w:rPr>
        <w:t>Agency, Intercreditor and Accounts Agreement, dated as of May 28, 2025, by and among DRP Urban Renewal 4, LLC, Delaware River</w:t>
      </w:r>
      <w:r>
        <w:rPr>
          <w:rFonts w:ascii="Arial" w:cs="Arial" w:eastAsia="Arial" w:hAnsi="Arial"/>
          <w:sz w:val="14"/>
          <w:szCs w:val="14"/>
          <w:color w:val="0000FF"/>
        </w:rPr>
        <w:t xml:space="preserve"> </w:t>
      </w:r>
      <w:r>
        <w:rPr>
          <w:rFonts w:ascii="Arial" w:cs="Arial" w:eastAsia="Arial" w:hAnsi="Arial"/>
          <w:sz w:val="14"/>
          <w:szCs w:val="14"/>
          <w:color w:val="000000"/>
        </w:rPr>
        <w:t>Partners LLC, the other Repauno Entities (as defined therein), Repauno Financing Holdco LLC, UMB Bank, N.A., and Deutsche Bank Trust Company Americas (incorporated by reference to Exhibit 10.1 of the Company’s Current Report on Form 8-K, filed June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709803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494" w:hanging="530"/>
        <w:spacing w:after="0" w:line="252" w:lineRule="auto"/>
        <w:tabs>
          <w:tab w:leader="none" w:pos="1474" w:val="left"/>
        </w:tabs>
        <w:rPr>
          <w:rFonts w:ascii="Arial" w:cs="Arial" w:eastAsia="Arial" w:hAnsi="Arial"/>
          <w:sz w:val="14"/>
          <w:szCs w:val="14"/>
          <w:color w:val="0000FF"/>
        </w:rPr>
      </w:pPr>
      <w:hyperlink r:id="rId141">
        <w:r>
          <w:rPr>
            <w:rFonts w:ascii="Arial" w:cs="Arial" w:eastAsia="Arial" w:hAnsi="Arial"/>
            <w:sz w:val="14"/>
            <w:szCs w:val="14"/>
            <w:u w:val="single" w:color="auto"/>
            <w:color w:val="0000FF"/>
          </w:rPr>
          <w:t>10.25</w:t>
        </w:r>
      </w:hyperlink>
      <w:r>
        <w:rPr>
          <w:rFonts w:ascii="Arial" w:cs="Arial" w:eastAsia="Arial" w:hAnsi="Arial"/>
          <w:sz w:val="14"/>
          <w:szCs w:val="14"/>
          <w:color w:val="0000FF"/>
        </w:rPr>
        <w:tab/>
        <w:t>Lease Agreement, dated as of May 28, 2025, by and between DRP Urban Renewal 4, LLC and the New Jersey Economic Development Authority (incorporated by reference to Exhibit 10.2 of the Company’s Current Report on Form 8-K, filed June 3, 2025).</w:t>
      </w:r>
    </w:p>
    <w:p>
      <w:pPr>
        <w:spacing w:after="0" w:line="1" w:lineRule="exact"/>
        <w:rPr>
          <w:sz w:val="20"/>
          <w:szCs w:val="20"/>
          <w:color w:val="auto"/>
        </w:rPr>
      </w:pPr>
    </w:p>
    <w:p>
      <w:pPr>
        <w:ind w:left="954"/>
        <w:spacing w:after="0"/>
        <w:tabs>
          <w:tab w:leader="none" w:pos="1474" w:val="left"/>
        </w:tabs>
        <w:rPr>
          <w:rFonts w:ascii="Arial" w:cs="Arial" w:eastAsia="Arial" w:hAnsi="Arial"/>
          <w:sz w:val="14"/>
          <w:szCs w:val="14"/>
          <w:color w:val="0000FF"/>
        </w:rPr>
      </w:pPr>
      <w:hyperlink r:id="rId142">
        <w:r>
          <w:rPr>
            <w:rFonts w:ascii="Arial" w:cs="Arial" w:eastAsia="Arial" w:hAnsi="Arial"/>
            <w:sz w:val="14"/>
            <w:szCs w:val="14"/>
            <w:u w:val="single" w:color="auto"/>
            <w:color w:val="0000FF"/>
          </w:rPr>
          <w:t>10.26</w:t>
        </w:r>
      </w:hyperlink>
      <w:r>
        <w:rPr>
          <w:rFonts w:ascii="Arial" w:cs="Arial" w:eastAsia="Arial" w:hAnsi="Arial"/>
          <w:sz w:val="14"/>
          <w:szCs w:val="14"/>
          <w:color w:val="0000FF"/>
        </w:rPr>
        <w:tab/>
        <w:t>Mortgage, Assignment of Leases and Rents, Security Agreement and Fixture Filing, dated as of May 28, 2025, executed and delivered by DRP Urban</w:t>
      </w:r>
    </w:p>
    <w:p>
      <w:pPr>
        <w:ind w:left="1494"/>
        <w:spacing w:after="0" w:line="231" w:lineRule="auto"/>
        <w:rPr>
          <w:sz w:val="20"/>
          <w:szCs w:val="20"/>
          <w:color w:val="auto"/>
        </w:rPr>
      </w:pPr>
      <w:r>
        <w:rPr>
          <w:rFonts w:ascii="Arial" w:cs="Arial" w:eastAsia="Arial" w:hAnsi="Arial"/>
          <w:sz w:val="14"/>
          <w:szCs w:val="14"/>
          <w:color w:val="auto"/>
        </w:rPr>
        <w:t>Renewal 4, LLC, Delaware River Partners LLC, and the other Grantors (as defined therein) in favor of the collateral agent named therein for the behalf of the owners of the Series 2025 Bonds (incorporated by reference to Exhibit 10.3 of the Company’s Current Report on Form 8-K, filed June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709803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ind w:left="1494" w:hanging="1494"/>
        <w:spacing w:after="0" w:line="235" w:lineRule="auto"/>
        <w:tabs>
          <w:tab w:leader="none" w:pos="963" w:val="left"/>
        </w:tabs>
        <w:numPr>
          <w:ilvl w:val="0"/>
          <w:numId w:val="47"/>
        </w:numPr>
        <w:rPr>
          <w:rFonts w:ascii="Arial" w:cs="Arial" w:eastAsia="Arial" w:hAnsi="Arial"/>
          <w:sz w:val="14"/>
          <w:szCs w:val="14"/>
          <w:color w:val="0000FF"/>
        </w:rPr>
      </w:pPr>
      <w:hyperlink r:id="rId144">
        <w:r>
          <w:rPr>
            <w:rFonts w:ascii="Arial" w:cs="Arial" w:eastAsia="Arial" w:hAnsi="Arial"/>
            <w:sz w:val="14"/>
            <w:szCs w:val="14"/>
            <w:u w:val="single" w:color="auto"/>
            <w:color w:val="0000FF"/>
          </w:rPr>
          <w:t>10.27</w:t>
        </w:r>
        <w:r>
          <w:rPr>
            <w:rFonts w:ascii="Arial" w:cs="Arial" w:eastAsia="Arial" w:hAnsi="Arial"/>
            <w:sz w:val="14"/>
            <w:szCs w:val="14"/>
            <w:color w:val="0000FF"/>
          </w:rPr>
          <w:t xml:space="preserve"> </w:t>
        </w:r>
      </w:hyperlink>
      <w:r>
        <w:rPr>
          <w:rFonts w:ascii="Arial" w:cs="Arial" w:eastAsia="Arial" w:hAnsi="Arial"/>
          <w:sz w:val="14"/>
          <w:szCs w:val="14"/>
          <w:color w:val="000000"/>
        </w:rPr>
        <w:t>Senior</w:t>
      </w:r>
      <w:r>
        <w:rPr>
          <w:rFonts w:ascii="Arial" w:cs="Arial" w:eastAsia="Arial" w:hAnsi="Arial"/>
          <w:sz w:val="14"/>
          <w:szCs w:val="14"/>
          <w:color w:val="0000FF"/>
        </w:rPr>
        <w:t xml:space="preserve"> </w:t>
      </w:r>
      <w:r>
        <w:rPr>
          <w:rFonts w:ascii="Arial" w:cs="Arial" w:eastAsia="Arial" w:hAnsi="Arial"/>
          <w:sz w:val="14"/>
          <w:szCs w:val="14"/>
          <w:color w:val="000000"/>
        </w:rPr>
        <w:t>Secured Credit Agreement, dated as of May 28, 2025, by and among DRP Urban Renewal 4, LLC, Delaware River Partners LLC, Deutsche</w:t>
      </w:r>
      <w:r>
        <w:rPr>
          <w:rFonts w:ascii="Arial" w:cs="Arial" w:eastAsia="Arial" w:hAnsi="Arial"/>
          <w:sz w:val="14"/>
          <w:szCs w:val="14"/>
          <w:color w:val="0000FF"/>
        </w:rPr>
        <w:t xml:space="preserve"> </w:t>
      </w:r>
      <w:r>
        <w:rPr>
          <w:rFonts w:ascii="Arial" w:cs="Arial" w:eastAsia="Arial" w:hAnsi="Arial"/>
          <w:sz w:val="14"/>
          <w:szCs w:val="14"/>
          <w:color w:val="000000"/>
        </w:rPr>
        <w:t>Bank Company Americas, Deutsche Bank AG, New York Branch, and the several lenders party from time to time thereto (incorporated by reference to Exhibit 10.4 of the Company’s Current Report on Form 8-K, filed June 3, 2025).</w:t>
      </w:r>
    </w:p>
    <w:p>
      <w:pPr>
        <w:spacing w:after="0" w:line="13" w:lineRule="exact"/>
        <w:rPr>
          <w:rFonts w:ascii="Arial" w:cs="Arial" w:eastAsia="Arial" w:hAnsi="Arial"/>
          <w:sz w:val="14"/>
          <w:szCs w:val="14"/>
          <w:color w:val="0000FF"/>
        </w:rPr>
      </w:pPr>
    </w:p>
    <w:p>
      <w:pPr>
        <w:ind w:left="1494" w:hanging="1494"/>
        <w:spacing w:after="0" w:line="235" w:lineRule="auto"/>
        <w:tabs>
          <w:tab w:leader="none" w:pos="963" w:val="left"/>
        </w:tabs>
        <w:numPr>
          <w:ilvl w:val="0"/>
          <w:numId w:val="47"/>
        </w:numPr>
        <w:rPr>
          <w:rFonts w:ascii="Arial" w:cs="Arial" w:eastAsia="Arial" w:hAnsi="Arial"/>
          <w:sz w:val="14"/>
          <w:szCs w:val="14"/>
          <w:color w:val="0000FF"/>
        </w:rPr>
      </w:pPr>
      <w:hyperlink r:id="rId145">
        <w:r>
          <w:rPr>
            <w:rFonts w:ascii="Arial" w:cs="Arial" w:eastAsia="Arial" w:hAnsi="Arial"/>
            <w:sz w:val="14"/>
            <w:szCs w:val="14"/>
            <w:u w:val="single" w:color="auto"/>
            <w:color w:val="0000FF"/>
          </w:rPr>
          <w:t>10.28</w:t>
        </w:r>
        <w:r>
          <w:rPr>
            <w:rFonts w:ascii="Arial" w:cs="Arial" w:eastAsia="Arial" w:hAnsi="Arial"/>
            <w:sz w:val="14"/>
            <w:szCs w:val="14"/>
            <w:color w:val="0000FF"/>
          </w:rPr>
          <w:t xml:space="preserve"> </w:t>
        </w:r>
      </w:hyperlink>
      <w:r>
        <w:rPr>
          <w:rFonts w:ascii="Arial" w:cs="Arial" w:eastAsia="Arial" w:hAnsi="Arial"/>
          <w:sz w:val="14"/>
          <w:szCs w:val="14"/>
          <w:color w:val="000000"/>
        </w:rPr>
        <w:t>Amended</w:t>
      </w:r>
      <w:r>
        <w:rPr>
          <w:rFonts w:ascii="Arial" w:cs="Arial" w:eastAsia="Arial" w:hAnsi="Arial"/>
          <w:sz w:val="14"/>
          <w:szCs w:val="14"/>
          <w:color w:val="0000FF"/>
        </w:rPr>
        <w:t xml:space="preserve"> </w:t>
      </w:r>
      <w:r>
        <w:rPr>
          <w:rFonts w:ascii="Arial" w:cs="Arial" w:eastAsia="Arial" w:hAnsi="Arial"/>
          <w:sz w:val="14"/>
          <w:szCs w:val="14"/>
          <w:color w:val="000000"/>
        </w:rPr>
        <w:t>and Restated Limited Liability Company Agreement of FIP RR Holdings LLC, dated as of August 25, 2025, by and among FIP RR Holdings</w:t>
      </w:r>
      <w:r>
        <w:rPr>
          <w:rFonts w:ascii="Arial" w:cs="Arial" w:eastAsia="Arial" w:hAnsi="Arial"/>
          <w:sz w:val="14"/>
          <w:szCs w:val="14"/>
          <w:color w:val="0000FF"/>
        </w:rPr>
        <w:t xml:space="preserve"> </w:t>
      </w:r>
      <w:r>
        <w:rPr>
          <w:rFonts w:ascii="Arial" w:cs="Arial" w:eastAsia="Arial" w:hAnsi="Arial"/>
          <w:sz w:val="14"/>
          <w:szCs w:val="14"/>
          <w:color w:val="000000"/>
        </w:rPr>
        <w:t>LLC, FTAI Infrastructure Inc. (solely with respect to Section 2.3(c) and Section 12.21) and the other parties thereto (incorporated by reference to Exhibit 10.2 of the Company’s Current Report on Form 8-K, filed August 25, 2025).</w:t>
      </w:r>
    </w:p>
    <w:p>
      <w:pPr>
        <w:spacing w:after="0" w:line="13" w:lineRule="exact"/>
        <w:rPr>
          <w:rFonts w:ascii="Arial" w:cs="Arial" w:eastAsia="Arial" w:hAnsi="Arial"/>
          <w:sz w:val="14"/>
          <w:szCs w:val="14"/>
          <w:color w:val="0000FF"/>
        </w:rPr>
      </w:pPr>
    </w:p>
    <w:p>
      <w:pPr>
        <w:ind w:left="1494" w:hanging="1494"/>
        <w:spacing w:after="0"/>
        <w:tabs>
          <w:tab w:leader="none" w:pos="963" w:val="left"/>
        </w:tabs>
        <w:numPr>
          <w:ilvl w:val="0"/>
          <w:numId w:val="47"/>
        </w:numPr>
        <w:rPr>
          <w:rFonts w:ascii="Arial" w:cs="Arial" w:eastAsia="Arial" w:hAnsi="Arial"/>
          <w:sz w:val="14"/>
          <w:szCs w:val="14"/>
          <w:color w:val="0000FF"/>
        </w:rPr>
      </w:pPr>
      <w:hyperlink r:id="rId146">
        <w:r>
          <w:rPr>
            <w:rFonts w:ascii="Arial" w:cs="Arial" w:eastAsia="Arial" w:hAnsi="Arial"/>
            <w:sz w:val="14"/>
            <w:szCs w:val="14"/>
            <w:u w:val="single" w:color="auto"/>
            <w:color w:val="0000FF"/>
          </w:rPr>
          <w:t>10.29</w:t>
        </w:r>
        <w:r>
          <w:rPr>
            <w:rFonts w:ascii="Arial" w:cs="Arial" w:eastAsia="Arial" w:hAnsi="Arial"/>
            <w:sz w:val="14"/>
            <w:szCs w:val="14"/>
            <w:color w:val="0000FF"/>
          </w:rPr>
          <w:t xml:space="preserve"> </w:t>
        </w:r>
      </w:hyperlink>
      <w:r>
        <w:rPr>
          <w:rFonts w:ascii="Arial" w:cs="Arial" w:eastAsia="Arial" w:hAnsi="Arial"/>
          <w:sz w:val="14"/>
          <w:szCs w:val="14"/>
          <w:color w:val="000000"/>
        </w:rPr>
        <w:t>Warrant</w:t>
      </w:r>
      <w:r>
        <w:rPr>
          <w:rFonts w:ascii="Arial" w:cs="Arial" w:eastAsia="Arial" w:hAnsi="Arial"/>
          <w:sz w:val="14"/>
          <w:szCs w:val="14"/>
          <w:color w:val="0000FF"/>
        </w:rPr>
        <w:t xml:space="preserve"> </w:t>
      </w:r>
      <w:r>
        <w:rPr>
          <w:rFonts w:ascii="Arial" w:cs="Arial" w:eastAsia="Arial" w:hAnsi="Arial"/>
          <w:sz w:val="14"/>
          <w:szCs w:val="14"/>
          <w:color w:val="000000"/>
        </w:rPr>
        <w:t>Agreement, dated as of August 25, 2025, by and among FIP RR Holdings LLC, FTAI Infrastructure Inc. (solely with respect to Section 7 and</w:t>
      </w:r>
      <w:r>
        <w:rPr>
          <w:rFonts w:ascii="Arial" w:cs="Arial" w:eastAsia="Arial" w:hAnsi="Arial"/>
          <w:sz w:val="14"/>
          <w:szCs w:val="14"/>
          <w:color w:val="0000FF"/>
        </w:rPr>
        <w:t xml:space="preserve"> </w:t>
      </w:r>
      <w:r>
        <w:rPr>
          <w:rFonts w:ascii="Arial" w:cs="Arial" w:eastAsia="Arial" w:hAnsi="Arial"/>
          <w:sz w:val="14"/>
          <w:szCs w:val="14"/>
          <w:color w:val="000000"/>
        </w:rPr>
        <w:t>Section 14) and the holders party thereto (incorporated by reference to Exhibit 10.3 of the Company’s Current Report on Form 8-K, filed August 25, 2025).</w:t>
      </w:r>
    </w:p>
    <w:p>
      <w:pPr>
        <w:spacing w:after="0" w:line="164" w:lineRule="exact"/>
        <w:rPr>
          <w:rFonts w:ascii="Arial" w:cs="Arial" w:eastAsia="Arial" w:hAnsi="Arial"/>
          <w:sz w:val="14"/>
          <w:szCs w:val="14"/>
          <w:color w:val="0000FF"/>
        </w:rPr>
      </w:pPr>
    </w:p>
    <w:p>
      <w:pPr>
        <w:ind w:left="1494" w:hanging="1494"/>
        <w:spacing w:after="0" w:line="235" w:lineRule="auto"/>
        <w:tabs>
          <w:tab w:leader="none" w:pos="963" w:val="left"/>
        </w:tabs>
        <w:numPr>
          <w:ilvl w:val="0"/>
          <w:numId w:val="47"/>
        </w:numPr>
        <w:rPr>
          <w:rFonts w:ascii="Arial" w:cs="Arial" w:eastAsia="Arial" w:hAnsi="Arial"/>
          <w:sz w:val="14"/>
          <w:szCs w:val="14"/>
          <w:color w:val="0000FF"/>
        </w:rPr>
      </w:pPr>
      <w:hyperlink r:id="rId147">
        <w:r>
          <w:rPr>
            <w:rFonts w:ascii="Arial" w:cs="Arial" w:eastAsia="Arial" w:hAnsi="Arial"/>
            <w:sz w:val="14"/>
            <w:szCs w:val="14"/>
            <w:u w:val="single" w:color="auto"/>
            <w:color w:val="0000FF"/>
          </w:rPr>
          <w:t>10.30</w:t>
        </w:r>
        <w:r>
          <w:rPr>
            <w:rFonts w:ascii="Arial" w:cs="Arial" w:eastAsia="Arial" w:hAnsi="Arial"/>
            <w:sz w:val="14"/>
            <w:szCs w:val="14"/>
            <w:color w:val="0000FF"/>
          </w:rPr>
          <w:t xml:space="preserve"> </w:t>
        </w:r>
      </w:hyperlink>
      <w:r>
        <w:rPr>
          <w:rFonts w:ascii="Arial" w:cs="Arial" w:eastAsia="Arial" w:hAnsi="Arial"/>
          <w:sz w:val="14"/>
          <w:szCs w:val="14"/>
          <w:color w:val="000000"/>
        </w:rPr>
        <w:t>Credit</w:t>
      </w:r>
      <w:r>
        <w:rPr>
          <w:rFonts w:ascii="Arial" w:cs="Arial" w:eastAsia="Arial" w:hAnsi="Arial"/>
          <w:sz w:val="14"/>
          <w:szCs w:val="14"/>
          <w:color w:val="0000FF"/>
        </w:rPr>
        <w:t xml:space="preserve"> </w:t>
      </w:r>
      <w:r>
        <w:rPr>
          <w:rFonts w:ascii="Arial" w:cs="Arial" w:eastAsia="Arial" w:hAnsi="Arial"/>
          <w:sz w:val="14"/>
          <w:szCs w:val="14"/>
          <w:color w:val="000000"/>
        </w:rPr>
        <w:t>Agreement, dated as of February 25, 2026, among FTAI Infrastructure Inc., the guarantors from time to time party thereto, the Lenders from time</w:t>
      </w:r>
      <w:r>
        <w:rPr>
          <w:rFonts w:ascii="Arial" w:cs="Arial" w:eastAsia="Arial" w:hAnsi="Arial"/>
          <w:sz w:val="14"/>
          <w:szCs w:val="14"/>
          <w:color w:val="0000FF"/>
        </w:rPr>
        <w:t xml:space="preserve"> </w:t>
      </w:r>
      <w:r>
        <w:rPr>
          <w:rFonts w:ascii="Arial" w:cs="Arial" w:eastAsia="Arial" w:hAnsi="Arial"/>
          <w:sz w:val="14"/>
          <w:szCs w:val="14"/>
          <w:color w:val="000000"/>
        </w:rPr>
        <w:t>to time party thereto, certain other financial institutions from time to time party thereto and Alter Domus (US) LLC, as administrative agent (incorporated by reference to Exhibit 10.1 of the Company’s Current Report on Form 8-K, filed February 26, 2026).</w:t>
      </w:r>
    </w:p>
    <w:p>
      <w:pPr>
        <w:spacing w:after="0" w:line="13" w:lineRule="exact"/>
        <w:rPr>
          <w:rFonts w:ascii="Arial" w:cs="Arial" w:eastAsia="Arial" w:hAnsi="Arial"/>
          <w:sz w:val="14"/>
          <w:szCs w:val="14"/>
          <w:color w:val="0000FF"/>
        </w:rPr>
      </w:pPr>
    </w:p>
    <w:p>
      <w:pPr>
        <w:ind w:left="1494" w:hanging="1494"/>
        <w:spacing w:after="0" w:line="235" w:lineRule="auto"/>
        <w:tabs>
          <w:tab w:leader="none" w:pos="963" w:val="left"/>
        </w:tabs>
        <w:numPr>
          <w:ilvl w:val="0"/>
          <w:numId w:val="47"/>
        </w:numPr>
        <w:rPr>
          <w:rFonts w:ascii="Arial" w:cs="Arial" w:eastAsia="Arial" w:hAnsi="Arial"/>
          <w:sz w:val="14"/>
          <w:szCs w:val="14"/>
          <w:color w:val="0000FF"/>
        </w:rPr>
      </w:pPr>
      <w:hyperlink r:id="rId148">
        <w:r>
          <w:rPr>
            <w:rFonts w:ascii="Arial" w:cs="Arial" w:eastAsia="Arial" w:hAnsi="Arial"/>
            <w:sz w:val="14"/>
            <w:szCs w:val="14"/>
            <w:u w:val="single" w:color="auto"/>
            <w:color w:val="0000FF"/>
          </w:rPr>
          <w:t>10.31</w:t>
        </w:r>
        <w:r>
          <w:rPr>
            <w:rFonts w:ascii="Arial" w:cs="Arial" w:eastAsia="Arial" w:hAnsi="Arial"/>
            <w:sz w:val="14"/>
            <w:szCs w:val="14"/>
            <w:color w:val="0000FF"/>
          </w:rPr>
          <w:t xml:space="preserve"> </w:t>
        </w:r>
      </w:hyperlink>
      <w:r>
        <w:rPr>
          <w:rFonts w:ascii="Arial" w:cs="Arial" w:eastAsia="Arial" w:hAnsi="Arial"/>
          <w:sz w:val="14"/>
          <w:szCs w:val="14"/>
          <w:color w:val="000000"/>
        </w:rPr>
        <w:t>Equity</w:t>
      </w:r>
      <w:r>
        <w:rPr>
          <w:rFonts w:ascii="Arial" w:cs="Arial" w:eastAsia="Arial" w:hAnsi="Arial"/>
          <w:sz w:val="14"/>
          <w:szCs w:val="14"/>
          <w:color w:val="0000FF"/>
        </w:rPr>
        <w:t xml:space="preserve"> </w:t>
      </w:r>
      <w:r>
        <w:rPr>
          <w:rFonts w:ascii="Arial" w:cs="Arial" w:eastAsia="Arial" w:hAnsi="Arial"/>
          <w:sz w:val="14"/>
          <w:szCs w:val="14"/>
          <w:color w:val="000000"/>
        </w:rPr>
        <w:t>Purchase Agreement, dated as of April 29, 2026, by and among Ohio River Partners Holdco LLC, Ohio River Partners Finance LLC, MARA USA</w:t>
      </w:r>
      <w:r>
        <w:rPr>
          <w:rFonts w:ascii="Arial" w:cs="Arial" w:eastAsia="Arial" w:hAnsi="Arial"/>
          <w:sz w:val="14"/>
          <w:szCs w:val="14"/>
          <w:color w:val="0000FF"/>
        </w:rPr>
        <w:t xml:space="preserve"> </w:t>
      </w:r>
      <w:r>
        <w:rPr>
          <w:rFonts w:ascii="Arial" w:cs="Arial" w:eastAsia="Arial" w:hAnsi="Arial"/>
          <w:sz w:val="14"/>
          <w:szCs w:val="14"/>
          <w:color w:val="000000"/>
        </w:rPr>
        <w:t>Corporation, and, solely for the purposes specified therein, MARA Holdings, Inc. and FTAI Infrastructure Inc. (incorporated by reference to Exhibit 10.1 of the Company’s Current Report on Form 8-K, filed April 30, 2026).</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-10795</wp:posOffset>
            </wp:positionH>
            <wp:positionV relativeFrom="paragraph">
              <wp:posOffset>-919480</wp:posOffset>
            </wp:positionV>
            <wp:extent cx="7098030" cy="308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098030" cy="3086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-302260</wp:posOffset>
            </wp:positionV>
            <wp:extent cx="7098030"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31.1</w:t>
      </w:r>
      <w:r>
        <w:rPr>
          <w:sz w:val="20"/>
          <w:szCs w:val="20"/>
          <w:color w:val="auto"/>
        </w:rPr>
        <w:tab/>
      </w:r>
      <w:r>
        <w:rPr>
          <w:rFonts w:ascii="Arial" w:cs="Arial" w:eastAsia="Arial" w:hAnsi="Arial"/>
          <w:sz w:val="14"/>
          <w:szCs w:val="14"/>
          <w:color w:val="auto"/>
        </w:rPr>
        <w:t>Certification of Chief Executive Officer pursuant to Rule 13a-14(a)/15d-14(a), as adopted pursuant to Section 302 of the Sarbanes-Oxley Act of 2002.</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9803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rFonts w:ascii="Arial" w:cs="Arial" w:eastAsia="Arial" w:hAnsi="Arial"/>
          <w:sz w:val="14"/>
          <w:szCs w:val="14"/>
          <w:i w:val="1"/>
          <w:iCs w:val="1"/>
          <w:color w:val="auto"/>
        </w:rPr>
      </w:pP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31.2</w:t>
      </w:r>
      <w:r>
        <w:rPr>
          <w:sz w:val="20"/>
          <w:szCs w:val="20"/>
          <w:color w:val="auto"/>
        </w:rPr>
        <w:tab/>
      </w:r>
      <w:r>
        <w:rPr>
          <w:rFonts w:ascii="Arial" w:cs="Arial" w:eastAsia="Arial" w:hAnsi="Arial"/>
          <w:sz w:val="14"/>
          <w:szCs w:val="14"/>
          <w:color w:val="auto"/>
        </w:rPr>
        <w:t>Certification of Chief Financial Officer pursuant to Rule 13a-14(a)/15d-14(a), as adopted pursuant to Section 302 of the Sarbanes-Oxley Act of 2002.</w:t>
      </w:r>
    </w:p>
    <w:p>
      <w:pPr>
        <w:spacing w:after="0" w:line="42" w:lineRule="exact"/>
        <w:rPr>
          <w:rFonts w:ascii="Arial" w:cs="Arial" w:eastAsia="Arial" w:hAnsi="Arial"/>
          <w:sz w:val="14"/>
          <w:szCs w:val="14"/>
          <w:i w:val="1"/>
          <w:iCs w:val="1"/>
          <w:color w:val="auto"/>
        </w:rPr>
      </w:pP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32.1</w:t>
      </w:r>
      <w:r>
        <w:rPr>
          <w:sz w:val="20"/>
          <w:szCs w:val="20"/>
          <w:color w:val="auto"/>
        </w:rPr>
        <w:tab/>
      </w:r>
      <w:r>
        <w:rPr>
          <w:rFonts w:ascii="Arial" w:cs="Arial" w:eastAsia="Arial" w:hAnsi="Arial"/>
          <w:sz w:val="14"/>
          <w:szCs w:val="14"/>
          <w:color w:val="auto"/>
        </w:rPr>
        <w:t>Certification of Chief Executive Officer pursuant to 18 U.S.C. Section 1350, as adopted pursuant to Section 906 of the Sarbanes-Oxley Act of 2002.</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9803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rFonts w:ascii="Arial" w:cs="Arial" w:eastAsia="Arial" w:hAnsi="Arial"/>
          <w:sz w:val="14"/>
          <w:szCs w:val="14"/>
          <w:i w:val="1"/>
          <w:iCs w:val="1"/>
          <w:color w:val="auto"/>
        </w:rPr>
      </w:pP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32.2</w:t>
      </w:r>
      <w:r>
        <w:rPr>
          <w:sz w:val="20"/>
          <w:szCs w:val="20"/>
          <w:color w:val="auto"/>
        </w:rPr>
        <w:tab/>
      </w:r>
      <w:r>
        <w:rPr>
          <w:rFonts w:ascii="Arial" w:cs="Arial" w:eastAsia="Arial" w:hAnsi="Arial"/>
          <w:sz w:val="14"/>
          <w:szCs w:val="14"/>
          <w:color w:val="auto"/>
        </w:rPr>
        <w:t>Certification of Chief Financial Officer pursuant to 18 U.S.C. Section 1350, as adopted pursuant to Section 906 of the Sarbanes-Oxley Act of 2002.</w:t>
      </w:r>
    </w:p>
    <w:p>
      <w:pPr>
        <w:spacing w:after="0" w:line="42" w:lineRule="exact"/>
        <w:rPr>
          <w:rFonts w:ascii="Arial" w:cs="Arial" w:eastAsia="Arial" w:hAnsi="Arial"/>
          <w:sz w:val="14"/>
          <w:szCs w:val="14"/>
          <w:i w:val="1"/>
          <w:iCs w:val="1"/>
          <w:color w:val="auto"/>
        </w:rPr>
      </w:pPr>
    </w:p>
    <w:p>
      <w:pPr>
        <w:jc w:val="both"/>
        <w:ind w:left="1494" w:hanging="469"/>
        <w:spacing w:after="0" w:line="231" w:lineRule="auto"/>
        <w:tabs>
          <w:tab w:leader="none" w:pos="149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March 31, 2026, formatted in iXBRL (Inline Extensible Business Reporting Language): (i) Consolidated Balance Sheets; (ii) Consolidated Statements of Operations; (iii) Consolidated Statements of Comprehensive (Loss) Income; (iv) Consolidated Statements of Changes in Equity; (v) Consolidated Statements of Cash Flows; and (vi) Notes to Consolidated Financial Statements.</w:t>
      </w:r>
    </w:p>
    <w:p>
      <w:pPr>
        <w:spacing w:after="0" w:line="200" w:lineRule="exact"/>
        <w:rPr>
          <w:rFonts w:ascii="Arial" w:cs="Arial" w:eastAsia="Arial" w:hAnsi="Arial"/>
          <w:sz w:val="14"/>
          <w:szCs w:val="14"/>
          <w:i w:val="1"/>
          <w:iCs w:val="1"/>
          <w:color w:val="auto"/>
        </w:rPr>
      </w:pPr>
    </w:p>
    <w:p>
      <w:pPr>
        <w:spacing w:after="0" w:line="255" w:lineRule="exact"/>
        <w:rPr>
          <w:rFonts w:ascii="Arial" w:cs="Arial" w:eastAsia="Arial" w:hAnsi="Arial"/>
          <w:sz w:val="14"/>
          <w:szCs w:val="14"/>
          <w:i w:val="1"/>
          <w:iCs w:val="1"/>
          <w:color w:val="auto"/>
        </w:rPr>
      </w:pPr>
    </w:p>
    <w:p>
      <w:pPr>
        <w:jc w:val="center"/>
        <w:ind w:right="-53"/>
        <w:spacing w:after="0"/>
        <w:rPr>
          <w:sz w:val="20"/>
          <w:szCs w:val="20"/>
          <w:color w:val="auto"/>
        </w:rPr>
      </w:pPr>
      <w:r>
        <w:rPr>
          <w:rFonts w:ascii="Arial" w:cs="Arial" w:eastAsia="Arial" w:hAnsi="Arial"/>
          <w:sz w:val="16"/>
          <w:szCs w:val="16"/>
          <w:color w:val="auto"/>
        </w:rPr>
        <w:t>73</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-23495</wp:posOffset>
            </wp:positionH>
            <wp:positionV relativeFrom="paragraph">
              <wp:posOffset>231140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4"/>
          </w:cols>
          <w:pgMar w:left="346" w:top="1089" w:right="419" w:bottom="1440" w:gutter="0" w:footer="0" w:header="0"/>
        </w:sectPr>
      </w:pPr>
    </w:p>
    <w:bookmarkStart w:id="73" w:name="page74"/>
    <w:bookmarkEnd w:id="73"/>
    <w:p>
      <w:pPr>
        <w:ind w:left="554"/>
        <w:spacing w:after="0"/>
        <w:tabs>
          <w:tab w:leader="none" w:pos="589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9803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35" w:lineRule="exact"/>
        <w:rPr>
          <w:sz w:val="20"/>
          <w:szCs w:val="20"/>
          <w:color w:val="auto"/>
        </w:rPr>
      </w:pPr>
    </w:p>
    <w:p>
      <w:pPr>
        <w:ind w:left="1494" w:hanging="469"/>
        <w:spacing w:after="0"/>
        <w:tabs>
          <w:tab w:leader="none" w:pos="1494" w:val="left"/>
        </w:tabs>
        <w:numPr>
          <w:ilvl w:val="1"/>
          <w:numId w:val="49"/>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43" w:lineRule="exact"/>
        <w:rPr>
          <w:rFonts w:ascii="Arial" w:cs="Arial" w:eastAsia="Arial" w:hAnsi="Arial"/>
          <w:sz w:val="14"/>
          <w:szCs w:val="14"/>
          <w:color w:val="auto"/>
        </w:rPr>
      </w:pPr>
    </w:p>
    <w:p>
      <w:pPr>
        <w:ind w:left="234" w:hanging="234"/>
        <w:spacing w:after="0"/>
        <w:tabs>
          <w:tab w:leader="none" w:pos="234"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709803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sz w:val="20"/>
          <w:szCs w:val="20"/>
          <w:color w:val="auto"/>
        </w:rPr>
      </w:pPr>
    </w:p>
    <w:p>
      <w:pPr>
        <w:ind w:left="234" w:hanging="234"/>
        <w:spacing w:after="0"/>
        <w:tabs>
          <w:tab w:leader="none" w:pos="234"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sz w:val="20"/>
          <w:szCs w:val="20"/>
          <w:color w:val="auto"/>
        </w:rPr>
      </w:pPr>
    </w:p>
    <w:p>
      <w:pPr>
        <w:spacing w:after="0" w:line="280" w:lineRule="exact"/>
        <w:rPr>
          <w:sz w:val="20"/>
          <w:szCs w:val="20"/>
          <w:color w:val="auto"/>
        </w:rPr>
      </w:pPr>
    </w:p>
    <w:p>
      <w:pPr>
        <w:ind w:left="5514"/>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231140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1089" w:right="1440"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FTAI INFRASTRUCTURE INC.</w:t>
      </w:r>
    </w:p>
    <w:p>
      <w:pPr>
        <w:spacing w:after="0" w:line="46" w:lineRule="exact"/>
        <w:rPr>
          <w:sz w:val="20"/>
          <w:szCs w:val="20"/>
          <w:color w:val="auto"/>
        </w:rPr>
      </w:pPr>
    </w:p>
    <w:p>
      <w:pPr>
        <w:ind w:left="560" w:right="1380" w:hanging="539"/>
        <w:spacing w:after="0" w:line="289" w:lineRule="auto"/>
        <w:tabs>
          <w:tab w:leader="none" w:pos="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Kenneth J. Nicholson Date: May 8, 2026 Kenneth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-2540</wp:posOffset>
            </wp:positionV>
            <wp:extent cx="41573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Chief Executive Officer and President</w:t>
      </w:r>
    </w:p>
    <w:p>
      <w:pPr>
        <w:spacing w:after="0" w:line="262" w:lineRule="exact"/>
        <w:rPr>
          <w:sz w:val="20"/>
          <w:szCs w:val="20"/>
          <w:color w:val="auto"/>
        </w:rPr>
      </w:pPr>
    </w:p>
    <w:p>
      <w:pPr>
        <w:ind w:left="20"/>
        <w:spacing w:after="0"/>
        <w:tabs>
          <w:tab w:leader="none" w:pos="540" w:val="left"/>
          <w:tab w:leader="none" w:pos="7940" w:val="left"/>
          <w:tab w:leader="none" w:pos="89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Carl R. Fletcher IV</w:t>
      </w:r>
      <w:r>
        <w:rPr>
          <w:sz w:val="20"/>
          <w:szCs w:val="20"/>
          <w:color w:val="auto"/>
        </w:rPr>
        <w:tab/>
      </w: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41402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Carl R. Fletcher IV</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Chief Financial Officer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20"/>
          </w:cols>
          <w:pgMar w:left="320" w:top="1043"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Kenneth J. Nicholson, certify that:</w:t>
      </w:r>
    </w:p>
    <w:p>
      <w:pPr>
        <w:spacing w:after="0" w:line="208"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FTAI Infrastructure Inc. (the “registrant”);</w:t>
      </w:r>
    </w:p>
    <w:p>
      <w:pPr>
        <w:spacing w:after="0" w:line="167" w:lineRule="exact"/>
        <w:rPr>
          <w:rFonts w:ascii="Arial" w:cs="Arial" w:eastAsia="Arial" w:hAnsi="Arial"/>
          <w:sz w:val="16"/>
          <w:szCs w:val="16"/>
          <w:color w:val="auto"/>
        </w:rPr>
      </w:pPr>
    </w:p>
    <w:p>
      <w:pPr>
        <w:ind w:left="660" w:hanging="652"/>
        <w:spacing w:after="0" w:line="275" w:lineRule="auto"/>
        <w:tabs>
          <w:tab w:leader="none" w:pos="3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hanging="652"/>
        <w:spacing w:after="0" w:line="304" w:lineRule="auto"/>
        <w:tabs>
          <w:tab w:leader="none" w:pos="4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ind w:left="660" w:hanging="652"/>
        <w:spacing w:after="0" w:line="275" w:lineRule="auto"/>
        <w:tabs>
          <w:tab w:leader="none" w:pos="4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hanging="644"/>
        <w:spacing w:after="0" w:line="275" w:lineRule="auto"/>
        <w:tabs>
          <w:tab w:leader="none" w:pos="1042"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6"/>
          <w:szCs w:val="16"/>
          <w:color w:val="auto"/>
        </w:rPr>
      </w:pPr>
    </w:p>
    <w:p>
      <w:pPr>
        <w:ind w:left="1300" w:hanging="644"/>
        <w:spacing w:after="0" w:line="266" w:lineRule="auto"/>
        <w:tabs>
          <w:tab w:leader="none" w:pos="11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1300" w:hanging="644"/>
        <w:spacing w:after="0" w:line="286" w:lineRule="auto"/>
        <w:tabs>
          <w:tab w:leader="none" w:pos="1109"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left="1300" w:hanging="644"/>
        <w:spacing w:after="0" w:line="275" w:lineRule="auto"/>
        <w:tabs>
          <w:tab w:leader="none" w:pos="1053"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hanging="652"/>
        <w:spacing w:after="0" w:line="286" w:lineRule="auto"/>
        <w:tabs>
          <w:tab w:leader="none" w:pos="37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1300" w:hanging="644"/>
        <w:spacing w:after="0" w:line="304" w:lineRule="auto"/>
        <w:tabs>
          <w:tab w:leader="none" w:pos="1035"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300" w:right="20" w:hanging="644"/>
        <w:spacing w:after="0" w:line="304" w:lineRule="auto"/>
        <w:tabs>
          <w:tab w:leader="none" w:pos="1023"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May 8, 2026</w:t>
            </w:r>
          </w:p>
        </w:tc>
        <w:tc>
          <w:tcPr>
            <w:tcW w:w="3740" w:type="dxa"/>
            <w:vAlign w:val="bottom"/>
          </w:tcPr>
          <w:p>
            <w:pPr>
              <w:ind w:left="20"/>
              <w:spacing w:after="0"/>
              <w:rPr>
                <w:sz w:val="20"/>
                <w:szCs w:val="20"/>
                <w:color w:val="auto"/>
              </w:rPr>
            </w:pPr>
            <w:r>
              <w:rPr>
                <w:rFonts w:ascii="Arial" w:cs="Arial" w:eastAsia="Arial" w:hAnsi="Arial"/>
                <w:sz w:val="16"/>
                <w:szCs w:val="16"/>
                <w:color w:val="auto"/>
              </w:rPr>
              <w:t>/s/ Kenneth J. Nicholson</w:t>
            </w:r>
          </w:p>
        </w:tc>
      </w:tr>
      <w:tr>
        <w:trPr>
          <w:trHeight w:val="209"/>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(Date)</w:t>
            </w:r>
          </w:p>
        </w:tc>
        <w:tc>
          <w:tcPr>
            <w:tcW w:w="5360" w:type="dxa"/>
            <w:vAlign w:val="bottom"/>
          </w:tcPr>
          <w:p>
            <w:pPr>
              <w:spacing w:after="0"/>
              <w:rPr>
                <w:sz w:val="18"/>
                <w:szCs w:val="18"/>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Kenneth J. Nicholson</w:t>
            </w:r>
          </w:p>
        </w:tc>
      </w:tr>
      <w:tr>
        <w:trPr>
          <w:trHeight w:val="215"/>
        </w:trPr>
        <w:tc>
          <w:tcPr>
            <w:tcW w:w="2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Executive Officer and President</w:t>
            </w:r>
          </w:p>
        </w:tc>
      </w:tr>
    </w:tbl>
    <w:p>
      <w:pPr>
        <w:sectPr>
          <w:pgSz w:w="11900" w:h="16838" w:orient="portrait"/>
          <w:cols w:equalWidth="0" w:num="1">
            <w:col w:w="11240"/>
          </w:cols>
          <w:pgMar w:left="320" w:top="89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Carl R. Fletcher IV, certify that:</w:t>
      </w:r>
    </w:p>
    <w:p>
      <w:pPr>
        <w:spacing w:after="0" w:line="194"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FTAI Infrastructure Inc. (the “registrant”);</w:t>
      </w:r>
    </w:p>
    <w:p>
      <w:pPr>
        <w:spacing w:after="0" w:line="180" w:lineRule="exact"/>
        <w:rPr>
          <w:rFonts w:ascii="Arial" w:cs="Arial" w:eastAsia="Arial" w:hAnsi="Arial"/>
          <w:sz w:val="16"/>
          <w:szCs w:val="16"/>
          <w:color w:val="auto"/>
        </w:rPr>
      </w:pPr>
    </w:p>
    <w:p>
      <w:pPr>
        <w:ind w:left="660" w:hanging="652"/>
        <w:spacing w:after="0" w:line="275" w:lineRule="auto"/>
        <w:tabs>
          <w:tab w:leader="none" w:pos="3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hanging="652"/>
        <w:spacing w:after="0" w:line="286" w:lineRule="auto"/>
        <w:tabs>
          <w:tab w:leader="none" w:pos="41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660" w:hanging="652"/>
        <w:spacing w:after="0" w:line="275" w:lineRule="auto"/>
        <w:tabs>
          <w:tab w:leader="none" w:pos="42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hanging="644"/>
        <w:spacing w:after="0" w:line="275" w:lineRule="auto"/>
        <w:tabs>
          <w:tab w:leader="none" w:pos="1042"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300" w:hanging="644"/>
        <w:spacing w:after="0" w:line="275" w:lineRule="auto"/>
        <w:tabs>
          <w:tab w:leader="none" w:pos="1171"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left="1300" w:hanging="644"/>
        <w:spacing w:after="0" w:line="304" w:lineRule="auto"/>
        <w:tabs>
          <w:tab w:leader="none" w:pos="1109"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ind w:left="1300" w:hanging="644"/>
        <w:spacing w:after="0" w:line="275" w:lineRule="auto"/>
        <w:tabs>
          <w:tab w:leader="none" w:pos="1053"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660" w:hanging="652"/>
        <w:spacing w:after="0" w:line="304" w:lineRule="auto"/>
        <w:tabs>
          <w:tab w:leader="none" w:pos="37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1300" w:hanging="644"/>
        <w:spacing w:after="0" w:line="286" w:lineRule="auto"/>
        <w:tabs>
          <w:tab w:leader="none" w:pos="1035"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300" w:right="20" w:hanging="644"/>
        <w:spacing w:after="0" w:line="286" w:lineRule="auto"/>
        <w:tabs>
          <w:tab w:leader="none" w:pos="1023"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May 8, 2026</w:t>
            </w:r>
          </w:p>
        </w:tc>
        <w:tc>
          <w:tcPr>
            <w:tcW w:w="5540" w:type="dxa"/>
            <w:vAlign w:val="bottom"/>
          </w:tcPr>
          <w:p>
            <w:pPr>
              <w:ind w:left="20"/>
              <w:spacing w:after="0"/>
              <w:rPr>
                <w:sz w:val="20"/>
                <w:szCs w:val="20"/>
                <w:color w:val="auto"/>
              </w:rPr>
            </w:pPr>
            <w:r>
              <w:rPr>
                <w:rFonts w:ascii="Arial" w:cs="Arial" w:eastAsia="Arial" w:hAnsi="Arial"/>
                <w:sz w:val="16"/>
                <w:szCs w:val="16"/>
                <w:color w:val="auto"/>
              </w:rPr>
              <w:t>/s/ Carl R. Fletcher IV</w:t>
            </w:r>
          </w:p>
        </w:tc>
      </w:tr>
      <w:tr>
        <w:trPr>
          <w:trHeight w:val="209"/>
        </w:trPr>
        <w:tc>
          <w:tcPr>
            <w:tcW w:w="1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(Date)</w:t>
            </w:r>
          </w:p>
        </w:tc>
        <w:tc>
          <w:tcPr>
            <w:tcW w:w="3780" w:type="dxa"/>
            <w:vAlign w:val="bottom"/>
          </w:tcPr>
          <w:p>
            <w:pPr>
              <w:spacing w:after="0"/>
              <w:rPr>
                <w:sz w:val="18"/>
                <w:szCs w:val="18"/>
                <w:color w:val="auto"/>
              </w:rPr>
            </w:pPr>
          </w:p>
        </w:tc>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Carl R. Fletcher IV</w:t>
            </w:r>
          </w:p>
        </w:tc>
      </w:tr>
      <w:tr>
        <w:trPr>
          <w:trHeight w:val="215"/>
        </w:trPr>
        <w:tc>
          <w:tcPr>
            <w:tcW w:w="19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540" w:type="dxa"/>
            <w:vAlign w:val="bottom"/>
          </w:tcPr>
          <w:p>
            <w:pPr>
              <w:ind w:left="20"/>
              <w:spacing w:after="0"/>
              <w:rPr>
                <w:sz w:val="20"/>
                <w:szCs w:val="20"/>
                <w:color w:val="auto"/>
              </w:rPr>
            </w:pPr>
            <w:r>
              <w:rPr>
                <w:rFonts w:ascii="Arial" w:cs="Arial" w:eastAsia="Arial" w:hAnsi="Arial"/>
                <w:sz w:val="16"/>
                <w:szCs w:val="16"/>
                <w:color w:val="auto"/>
              </w:rPr>
              <w:t>Chief Financial Officer and Chief Accounting Officer</w:t>
            </w:r>
          </w:p>
        </w:tc>
      </w:tr>
    </w:tbl>
    <w:p>
      <w:pPr>
        <w:sectPr>
          <w:pgSz w:w="11900" w:h="16838" w:orient="portrait"/>
          <w:cols w:equalWidth="0" w:num="1">
            <w:col w:w="11240"/>
          </w:cols>
          <w:pgMar w:left="320" w:top="895"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Quarterly Report on Form 10-Q of FTAI Infrastructure Inc. (the “Company”) for the quarterly period ended March 31, 2026 as filed with the Securities and Exchange Commission on the date hereof (the “Report”), Kenneth J. Nicholson, as Chief Executive Officer of the Company, hereby certifies, pursuant to 18 U.S.C. Section 1350, as adopted pursuant to Section 906 of the Sarbanes-Oxley Act of 2002, that, to the best of his knowledge:</w:t>
      </w:r>
    </w:p>
    <w:p>
      <w:pPr>
        <w:spacing w:after="0" w:line="110"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Kenneth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49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Kenneth J. Nicholson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 and President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8, 2026</w:t>
      </w:r>
    </w:p>
    <w:p>
      <w:pPr>
        <w:sectPr>
          <w:pgSz w:w="11900" w:h="16838" w:orient="portrait"/>
          <w:cols w:equalWidth="0" w:num="1">
            <w:col w:w="11240"/>
          </w:cols>
          <w:pgMar w:left="320" w:top="895"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Quarterly Report on Form 10-Q of FTAI Infrastructure Inc. (the “Company”) for the quarterly period ended March 31, 2026 as filed with the Securities and Exchange Commission on the date hereof (the “Report”), Carl R. Fletcher IV, as Chief Financial Officer of the Company, hereby certifies, pursuant to 18 U.S.C. Section 1350, as adopted pursuant to Section 906 of the Sarbanes-Oxley Act of 2002, that, to the best of his knowledge:</w:t>
      </w:r>
    </w:p>
    <w:p>
      <w:pPr>
        <w:spacing w:after="0" w:line="110"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Carl R. Fletcher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49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Carl R. Fletcher IV</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Chief Accounting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8, 2026</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lvl w:ilvl="1">
      <w:lvlJc w:val="left"/>
      <w:lvlText w:val="(%2)"/>
      <w:numFmt w:val="lowerRoman"/>
      <w:start w:val="3"/>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101"/>
    </w:lvl>
  </w:abstractNum>
  <w:abstractNum w:abstractNumId="48">
    <w:nsid w:val="79A1DEAA"/>
    <w:multiLevelType w:val="hybridMultilevel"/>
    <w:lvl w:ilvl="0">
      <w:lvlJc w:val="left"/>
      <w:lvlText w:val="†"/>
      <w:numFmt w:val="bullet"/>
      <w:start w:val="1"/>
    </w:lvl>
    <w:lvl w:ilvl="1">
      <w:lvlJc w:val="left"/>
      <w:lvlText w:val="%2"/>
      <w:numFmt w:val="decimal"/>
      <w:start w:val="104"/>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5" Type="http://schemas.openxmlformats.org/officeDocument/2006/relationships/image" Target="media/image84.png"/><Relationship Id="rId98" Type="http://schemas.openxmlformats.org/officeDocument/2006/relationships/image" Target="media/image85.png"/><Relationship Id="rId101" Type="http://schemas.openxmlformats.org/officeDocument/2006/relationships/image" Target="media/image86.png"/><Relationship Id="rId103" Type="http://schemas.openxmlformats.org/officeDocument/2006/relationships/image" Target="media/image87.png"/><Relationship Id="rId106" Type="http://schemas.openxmlformats.org/officeDocument/2006/relationships/image" Target="media/image88.png"/><Relationship Id="rId110" Type="http://schemas.openxmlformats.org/officeDocument/2006/relationships/image" Target="media/image89.png"/><Relationship Id="rId112" Type="http://schemas.openxmlformats.org/officeDocument/2006/relationships/image" Target="media/image90.png"/><Relationship Id="rId115" Type="http://schemas.openxmlformats.org/officeDocument/2006/relationships/image" Target="media/image91.png"/><Relationship Id="rId118" Type="http://schemas.openxmlformats.org/officeDocument/2006/relationships/image" Target="media/image92.png"/><Relationship Id="rId121"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8" Type="http://schemas.openxmlformats.org/officeDocument/2006/relationships/image" Target="media/image96.png"/><Relationship Id="rId131" Type="http://schemas.openxmlformats.org/officeDocument/2006/relationships/image" Target="media/image97.png"/><Relationship Id="rId134" Type="http://schemas.openxmlformats.org/officeDocument/2006/relationships/image" Target="media/image98.png"/><Relationship Id="rId137" Type="http://schemas.openxmlformats.org/officeDocument/2006/relationships/image" Target="media/image99.png"/><Relationship Id="rId140" Type="http://schemas.openxmlformats.org/officeDocument/2006/relationships/image" Target="media/image100.png"/><Relationship Id="rId143"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90" Type="http://schemas.openxmlformats.org/officeDocument/2006/relationships/hyperlink" Target="https://www.sec.gov/Archives/edgar/data/0001899883/000114036122027683/brhc10040169_ex2-1.htm" TargetMode="External"/><Relationship Id="rId91" Type="http://schemas.openxmlformats.org/officeDocument/2006/relationships/hyperlink" Target="https://www.sec.gov/Archives/edgar/data/1899883/000114036125006134/ef20044412_ex2-1.htm" TargetMode="External"/><Relationship Id="rId92" Type="http://schemas.openxmlformats.org/officeDocument/2006/relationships/hyperlink" Target="https://www.sec.gov/Archives/edgar/data/1899883/000114036125029042/ef20053302_ex10-1.htm" TargetMode="External"/><Relationship Id="rId94" Type="http://schemas.openxmlformats.org/officeDocument/2006/relationships/hyperlink" Target="https://www.sec.gov/Archives/edgar/data/0001899883/000114036122027683/brhc10040169_ex3-1.htm" TargetMode="External"/><Relationship Id="rId96" Type="http://schemas.openxmlformats.org/officeDocument/2006/relationships/hyperlink" Target="https://www.sec.gov/Archives/edgar/data/0001899883/000114036122027683/brhc10040169_ex3-2.htm" TargetMode="External"/><Relationship Id="rId97" Type="http://schemas.openxmlformats.org/officeDocument/2006/relationships/hyperlink" Target="https://www.sec.gov/Archives/edgar/data/0001899883/000114036122027683/brhc10040169_ex3-3.htm" TargetMode="External"/><Relationship Id="rId99" Type="http://schemas.openxmlformats.org/officeDocument/2006/relationships/hyperlink" Target="https://www.sec.gov/Archives/edgar/data/1899883/000114036125006134/ef20044412_ex3-2.htm" TargetMode="External"/><Relationship Id="rId100" Type="http://schemas.openxmlformats.org/officeDocument/2006/relationships/hyperlink" Target="https://www.sec.gov/Archives/edgar/data/1899883/000189988326000015/fip12312025exhibit41.htm" TargetMode="External"/><Relationship Id="rId102" Type="http://schemas.openxmlformats.org/officeDocument/2006/relationships/hyperlink" Target="https://www.sec.gov/Archives/edgar/data/1899883/000114036125005888/ef20044242_ex4-1.htm" TargetMode="External"/><Relationship Id="rId104" Type="http://schemas.openxmlformats.org/officeDocument/2006/relationships/hyperlink" Target="https://www.sec.gov/Archives/edgar/data/0001899883/000114036122027683/brhc10040169_ex10-1.htm" TargetMode="External"/><Relationship Id="rId105" Type="http://schemas.openxmlformats.org/officeDocument/2006/relationships/hyperlink" Target="https://www.sec.gov/Archives/edgar/data/1899883/000114036122027683/brhc10040169_ex10-8.htm" TargetMode="External"/><Relationship Id="rId107" Type="http://schemas.openxmlformats.org/officeDocument/2006/relationships/hyperlink" Target="https://www.sec.gov/Archives/edgar/data/0001899883/000114036122027683/brhc10040169_ex10-4.htm" TargetMode="External"/><Relationship Id="rId108" Type="http://schemas.openxmlformats.org/officeDocument/2006/relationships/hyperlink" Target="https://www.sec.gov/Archives/edgar/data/1899883/000114036122016706/ny20001700x6_ex10-4.htm" TargetMode="External"/><Relationship Id="rId109" Type="http://schemas.openxmlformats.org/officeDocument/2006/relationships/hyperlink" Target="https://www.sec.gov/Archives/edgar/data/1899883/000114036122016706/ny20001700x6_ex10-5.htm" TargetMode="External"/><Relationship Id="rId111" Type="http://schemas.openxmlformats.org/officeDocument/2006/relationships/hyperlink" Target="https://www.sec.gov/Archives/edgar/data/0001899883/000114036122027683/brhc10040169_ex10-2.htm" TargetMode="External"/><Relationship Id="rId113" Type="http://schemas.openxmlformats.org/officeDocument/2006/relationships/hyperlink" Target="https://www.sec.gov/Archives/edgar/data/1590364/000159036419000004/epccontract-exhibit1017.htm" TargetMode="External"/><Relationship Id="rId114" Type="http://schemas.openxmlformats.org/officeDocument/2006/relationships/hyperlink" Target="https://www.sec.gov/Archives/edgar/data/1590364/000159036419000004/geequipmentsupplyagreement.htm" TargetMode="External"/><Relationship Id="rId116" Type="http://schemas.openxmlformats.org/officeDocument/2006/relationships/hyperlink" Target="https://www.sec.gov/Archives/edgar/data/1899883/000114036124030752/ef20031396_ex10-1.htm" TargetMode="External"/><Relationship Id="rId117" Type="http://schemas.openxmlformats.org/officeDocument/2006/relationships/hyperlink" Target="https://www.sec.gov/Archives/edgar/data/1590364/000159036420000005/jeffersondeedoftrust.htm" TargetMode="External"/><Relationship Id="rId119" Type="http://schemas.openxmlformats.org/officeDocument/2006/relationships/hyperlink" Target="https://www.sec.gov/Archives/edgar/data/1590364/000159036420000005/jeffersonfacilitieslea.htm" TargetMode="External"/><Relationship Id="rId120" Type="http://schemas.openxmlformats.org/officeDocument/2006/relationships/hyperlink" Target="https://www.sec.gov/Archives/edgar/data/1899883/000114036124030752/ef20031396_ex10-2.htm" TargetMode="External"/><Relationship Id="rId122" Type="http://schemas.openxmlformats.org/officeDocument/2006/relationships/hyperlink" Target="https://www.sec.gov/Archives/edgar/data/1899883/000114036124030752/ef20031396_ex10-3.htm" TargetMode="External"/><Relationship Id="rId123" Type="http://schemas.openxmlformats.org/officeDocument/2006/relationships/hyperlink" Target="https://www.sec.gov/Archives/edgar/data/1590364/000114036121020135/brhc10025553_ex10-1.htm" TargetMode="External"/><Relationship Id="rId126" Type="http://schemas.openxmlformats.org/officeDocument/2006/relationships/hyperlink" Target="https://www.sec.gov/Archives/edgar/data/1590364/000159036421000006/railwayservicesagreement.htm" TargetMode="External"/><Relationship Id="rId127" Type="http://schemas.openxmlformats.org/officeDocument/2006/relationships/hyperlink" Target="https://www.sec.gov/Archives/edgar/data/1899883/000114036122024785/ny20001700x10_ex10-17.htm" TargetMode="External"/><Relationship Id="rId129" Type="http://schemas.openxmlformats.org/officeDocument/2006/relationships/hyperlink" Target="https://www.sec.gov/Archives/edgar/data/0001899883/000114036122027683/brhc10040169_ex10-6.htm" TargetMode="External"/><Relationship Id="rId130" Type="http://schemas.openxmlformats.org/officeDocument/2006/relationships/hyperlink" Target="https://www.sec.gov/Archives/edgar/data/0001899883/000114036122027683/brhc10040169_ex10-5.htm" TargetMode="External"/><Relationship Id="rId132" Type="http://schemas.openxmlformats.org/officeDocument/2006/relationships/hyperlink" Target="https://www.sec.gov/Archives/edgar/data/0001899883/000114036122027683/brhc10040169_ex10-3.htm" TargetMode="External"/><Relationship Id="rId133" Type="http://schemas.openxmlformats.org/officeDocument/2006/relationships/hyperlink" Target="https://www.sec.gov/Archives/edgar/data/0001899883/000114036122027683/brhc10040169_ex10-7.htm" TargetMode="External"/><Relationship Id="rId135" Type="http://schemas.openxmlformats.org/officeDocument/2006/relationships/hyperlink" Target="https://www.sec.gov/Archives/edgar/data/1899883/000114036125006134/ef20044412_ex10-1.htm" TargetMode="External"/><Relationship Id="rId136" Type="http://schemas.openxmlformats.org/officeDocument/2006/relationships/hyperlink" Target="https://www.sec.gov/Archives/edgar/data/1899883/000114036125006134/ef20044412_ex10-2.htm" TargetMode="External"/><Relationship Id="rId138" Type="http://schemas.openxmlformats.org/officeDocument/2006/relationships/hyperlink" Target="https://www.sec.gov/Archives/edgar/data/1899883/000114036125005888/ef20044242_ex10-1.htm" TargetMode="External"/><Relationship Id="rId139" Type="http://schemas.openxmlformats.org/officeDocument/2006/relationships/hyperlink" Target="https://www.sec.gov/Archives/edgar/data/1899883/000114036125021294/ef20050005_ex10-1.htm" TargetMode="External"/><Relationship Id="rId141" Type="http://schemas.openxmlformats.org/officeDocument/2006/relationships/hyperlink" Target="https://www.sec.gov/Archives/edgar/data/1899883/000114036125021294/ef20050005_ex10-2.htm" TargetMode="External"/><Relationship Id="rId142" Type="http://schemas.openxmlformats.org/officeDocument/2006/relationships/hyperlink" Target="https://www.sec.gov/Archives/edgar/data/1899883/000114036125021294/ef20049988_ex10-3.htm" TargetMode="External"/><Relationship Id="rId144" Type="http://schemas.openxmlformats.org/officeDocument/2006/relationships/hyperlink" Target="https://www.sec.gov/Archives/edgar/data/1899883/000114036125021294/ef20050005_ex10-4.htm" TargetMode="External"/><Relationship Id="rId145" Type="http://schemas.openxmlformats.org/officeDocument/2006/relationships/hyperlink" Target="https://www.sec.gov/Archives/edgar/data/1899883/000114036125032534/ef20054420_ex10-2.htm" TargetMode="External"/><Relationship Id="rId146" Type="http://schemas.openxmlformats.org/officeDocument/2006/relationships/hyperlink" Target="https://www.sec.gov/Archives/edgar/data/1899883/000114036125032534/ef20054420_ex10-3.htm" TargetMode="External"/><Relationship Id="rId147" Type="http://schemas.openxmlformats.org/officeDocument/2006/relationships/hyperlink" Target="https://www.sec.gov/Archives/edgar/data/1899883/000114036126007000/ef20065180_ex10-1.htm" TargetMode="External"/><Relationship Id="rId148" Type="http://schemas.openxmlformats.org/officeDocument/2006/relationships/hyperlink" Target="https://www.sec.gov/Archives/edgar/data/1899883/000114036126018033/ef2007166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2026-05-08T15:45:53Z</dcterms:created>
  <dcterms:modified xsi:type="dcterms:W3CDTF">2026-05-08T15:45:53Z</dcterms:modified>
</cp:coreProperties>
</file>