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8707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8707755"/>
                    </a:xfrm>
                    <a:prstGeom prst="rect">
                      <a:avLst/>
                    </a:prstGeom>
                    <a:noFill/>
                  </pic:spPr>
                </pic:pic>
              </a:graphicData>
            </a:graphic>
          </wp:anchor>
        </w:drawing>
      </w:r>
    </w:p>
    <w:p>
      <w:pPr>
        <w:spacing w:after="0" w:line="1157" w:lineRule="exact"/>
        <w:rPr>
          <w:sz w:val="24"/>
          <w:szCs w:val="24"/>
          <w:color w:val="auto"/>
        </w:rPr>
      </w:pPr>
    </w:p>
    <w:p>
      <w:pPr>
        <w:sectPr>
          <w:pgSz w:w="11900" w:h="16856" w:orient="portrait"/>
          <w:cols w:equalWidth="0" w:num="2">
            <w:col w:w="2280" w:space="340"/>
            <w:col w:w="846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9"/>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00" w:type="dxa"/>
            <w:vAlign w:val="bottom"/>
            <w:gridSpan w:val="9"/>
          </w:tcPr>
          <w:p>
            <w:pPr>
              <w:ind w:left="80"/>
              <w:spacing w:after="0"/>
              <w:rPr>
                <w:sz w:val="20"/>
                <w:szCs w:val="20"/>
                <w:color w:val="auto"/>
              </w:rPr>
            </w:pPr>
            <w:r>
              <w:rPr>
                <w:rFonts w:ascii="Arial" w:cs="Arial" w:eastAsia="Arial" w:hAnsi="Arial"/>
                <w:sz w:val="13"/>
                <w:szCs w:val="13"/>
                <w:color w:val="auto"/>
                <w:w w:val="98"/>
              </w:rPr>
              <w:t xml:space="preserve">2. Issuer Name </w:t>
            </w:r>
            <w:r>
              <w:rPr>
                <w:rFonts w:ascii="Arial" w:cs="Arial" w:eastAsia="Arial" w:hAnsi="Arial"/>
                <w:sz w:val="13"/>
                <w:szCs w:val="13"/>
                <w:b w:val="1"/>
                <w:bCs w:val="1"/>
                <w:color w:val="auto"/>
                <w:w w:val="98"/>
              </w:rPr>
              <w:t>and</w:t>
            </w:r>
            <w:r>
              <w:rPr>
                <w:rFonts w:ascii="Arial" w:cs="Arial" w:eastAsia="Arial" w:hAnsi="Arial"/>
                <w:sz w:val="13"/>
                <w:szCs w:val="13"/>
                <w:color w:val="auto"/>
                <w:w w:val="98"/>
              </w:rPr>
              <w:t xml:space="preserve"> Ticker or Trading Symbol</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3"/>
            <w:vMerge w:val="restart"/>
          </w:tcPr>
          <w:p>
            <w:pPr>
              <w:spacing w:after="0"/>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LIF AIV 1, L.P.</w:t>
              </w:r>
            </w:hyperlink>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700" w:type="dxa"/>
            <w:vAlign w:val="bottom"/>
            <w:gridSpan w:val="9"/>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FTAI Infrastructure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FIP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700" w:type="dxa"/>
            <w:vAlign w:val="bottom"/>
            <w:tcBorders>
              <w:bottom w:val="single" w:sz="8" w:color="0000EE"/>
            </w:tcBorders>
          </w:tcPr>
          <w:p>
            <w:pPr>
              <w:spacing w:after="0"/>
              <w:rPr>
                <w:sz w:val="5"/>
                <w:szCs w:val="5"/>
                <w:color w:val="auto"/>
              </w:rPr>
            </w:pPr>
          </w:p>
        </w:tc>
        <w:tc>
          <w:tcPr>
            <w:tcW w:w="320" w:type="dxa"/>
            <w:vAlign w:val="bottom"/>
            <w:tcBorders>
              <w:bottom w:val="single" w:sz="8" w:color="0000EE"/>
            </w:tcBorders>
          </w:tcPr>
          <w:p>
            <w:pPr>
              <w:spacing w:after="0"/>
              <w:rPr>
                <w:sz w:val="5"/>
                <w:szCs w:val="5"/>
                <w:color w:val="auto"/>
              </w:rPr>
            </w:pPr>
          </w:p>
        </w:tc>
        <w:tc>
          <w:tcPr>
            <w:tcW w:w="440" w:type="dxa"/>
            <w:vAlign w:val="bottom"/>
            <w:tcBorders>
              <w:bottom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Borders>
              <w:bottom w:val="single" w:sz="8" w:color="0000EE"/>
            </w:tcBorders>
            <w:gridSpan w:val="3"/>
            <w:vMerge w:val="continue"/>
          </w:tcPr>
          <w:p>
            <w:pPr>
              <w:spacing w:after="0"/>
              <w:rPr>
                <w:sz w:val="5"/>
                <w:szCs w:val="5"/>
                <w:color w:val="auto"/>
              </w:rPr>
            </w:pPr>
          </w:p>
        </w:tc>
        <w:tc>
          <w:tcPr>
            <w:tcW w:w="100" w:type="dxa"/>
            <w:vAlign w:val="bottom"/>
            <w:vMerge w:val="restart"/>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5"/>
                <w:szCs w:val="5"/>
                <w:color w:val="auto"/>
              </w:rPr>
            </w:pPr>
          </w:p>
        </w:tc>
        <w:tc>
          <w:tcPr>
            <w:tcW w:w="1540" w:type="dxa"/>
            <w:vAlign w:val="bottom"/>
            <w:gridSpan w:val="4"/>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80" w:type="dxa"/>
            <w:vAlign w:val="bottom"/>
            <w:gridSpan w:val="3"/>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9"/>
                <w:szCs w:val="9"/>
                <w:color w:val="auto"/>
              </w:rPr>
            </w:pPr>
          </w:p>
        </w:tc>
        <w:tc>
          <w:tcPr>
            <w:tcW w:w="1540" w:type="dxa"/>
            <w:vAlign w:val="bottom"/>
            <w:gridSpan w:val="4"/>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40" w:type="dxa"/>
            <w:vAlign w:val="bottom"/>
            <w:gridSpan w:val="5"/>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80" w:type="dxa"/>
            <w:vAlign w:val="bottom"/>
            <w:gridSpan w:val="10"/>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ind w:left="300"/>
              <w:spacing w:after="0"/>
              <w:rPr>
                <w:sz w:val="20"/>
                <w:szCs w:val="20"/>
                <w:color w:val="auto"/>
              </w:rPr>
            </w:pPr>
            <w:r>
              <w:rPr>
                <w:rFonts w:ascii="Arial" w:cs="Arial" w:eastAsia="Arial" w:hAnsi="Arial"/>
                <w:sz w:val="13"/>
                <w:szCs w:val="13"/>
                <w:color w:val="auto"/>
                <w:w w:val="99"/>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7"/>
            <w:vMerge w:val="restart"/>
          </w:tcPr>
          <w:p>
            <w:pPr>
              <w:spacing w:after="0"/>
              <w:rPr>
                <w:sz w:val="20"/>
                <w:szCs w:val="20"/>
                <w:color w:val="auto"/>
              </w:rPr>
            </w:pPr>
            <w:r>
              <w:rPr>
                <w:rFonts w:ascii="Times New Roman" w:cs="Times New Roman" w:eastAsia="Times New Roman" w:hAnsi="Times New Roman"/>
                <w:sz w:val="16"/>
                <w:szCs w:val="16"/>
                <w:color w:val="0000FF"/>
              </w:rPr>
              <w:t>900 NORTH MICHIGAN AVENUE</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gridSpan w:val="7"/>
          </w:tcPr>
          <w:p>
            <w:pPr>
              <w:jc w:val="right"/>
              <w:ind w:right="383"/>
              <w:spacing w:after="0"/>
              <w:rPr>
                <w:sz w:val="20"/>
                <w:szCs w:val="20"/>
                <w:color w:val="auto"/>
              </w:rPr>
            </w:pPr>
            <w:r>
              <w:rPr>
                <w:rFonts w:ascii="Times New Roman" w:cs="Times New Roman" w:eastAsia="Times New Roman" w:hAnsi="Times New Roman"/>
                <w:sz w:val="16"/>
                <w:szCs w:val="16"/>
                <w:color w:val="0000FF"/>
              </w:rPr>
              <w:t>06/30/2026</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7"/>
            <w:vMerge w:val="continue"/>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SUITE 1100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11"/>
            <w:vMerge w:val="restart"/>
          </w:tcPr>
          <w:p>
            <w:pPr>
              <w:ind w:left="80"/>
              <w:spacing w:after="0"/>
              <w:rPr>
                <w:sz w:val="20"/>
                <w:szCs w:val="20"/>
                <w:color w:val="auto"/>
              </w:rPr>
            </w:pPr>
            <w:r>
              <w:rPr>
                <w:rFonts w:ascii="Arial" w:cs="Arial" w:eastAsia="Arial" w:hAnsi="Arial"/>
                <w:sz w:val="13"/>
                <w:szCs w:val="13"/>
                <w:color w:val="auto"/>
                <w:w w:val="99"/>
              </w:rPr>
              <w:t>4. If Amendment, Date of Original Filed (Month/Day/Year)</w:t>
            </w: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11"/>
            <w:vMerge w:val="continue"/>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vMerge w:val="restart"/>
          </w:tcPr>
          <w:p>
            <w:pPr>
              <w:spacing w:after="0"/>
              <w:rPr>
                <w:sz w:val="3"/>
                <w:szCs w:val="3"/>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0000FF"/>
              </w:rPr>
              <w:t>CHICAGO</w:t>
            </w:r>
          </w:p>
        </w:tc>
        <w:tc>
          <w:tcPr>
            <w:tcW w:w="18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color w:val="0000FF"/>
                <w:w w:val="92"/>
              </w:rPr>
              <w:t>IL</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line="178" w:lineRule="exact"/>
              <w:rPr>
                <w:sz w:val="20"/>
                <w:szCs w:val="20"/>
                <w:color w:val="auto"/>
              </w:rPr>
            </w:pPr>
            <w:r>
              <w:rPr>
                <w:rFonts w:ascii="Times New Roman" w:cs="Times New Roman" w:eastAsia="Times New Roman" w:hAnsi="Times New Roman"/>
                <w:sz w:val="16"/>
                <w:szCs w:val="16"/>
                <w:color w:val="0000FF"/>
              </w:rPr>
              <w:t>60611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auto"/>
                <w:w w:val="92"/>
              </w:rPr>
              <w:t>Person</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40" w:type="dxa"/>
            <w:vAlign w:val="bottom"/>
            <w:gridSpan w:val="5"/>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300" w:type="dxa"/>
            <w:vAlign w:val="bottom"/>
            <w:tcBorders>
              <w:bottom w:val="single" w:sz="8" w:color="2C2C2C"/>
            </w:tcBorders>
            <w:gridSpan w:val="10"/>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580" w:type="dxa"/>
            <w:vAlign w:val="bottom"/>
            <w:tcBorders>
              <w:top w:val="single" w:sz="8" w:color="2C2C2C"/>
            </w:tcBorders>
            <w:gridSpan w:val="22"/>
          </w:tcPr>
          <w:p>
            <w:pPr>
              <w:ind w:left="2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gridSpan w:val="6"/>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9"/>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8"/>
          </w:tcPr>
          <w:p>
            <w:pPr>
              <w:ind w:left="80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4"/>
                <w:szCs w:val="14"/>
                <w:color w:val="auto"/>
              </w:rPr>
            </w:pPr>
          </w:p>
        </w:tc>
        <w:tc>
          <w:tcPr>
            <w:tcW w:w="1800" w:type="dxa"/>
            <w:vAlign w:val="bottom"/>
            <w:gridSpan w:val="6"/>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3160" w:type="dxa"/>
            <w:vAlign w:val="bottom"/>
            <w:gridSpan w:val="9"/>
          </w:tcPr>
          <w:p>
            <w:pPr>
              <w:ind w:left="100"/>
              <w:spacing w:after="0"/>
              <w:rPr>
                <w:sz w:val="20"/>
                <w:szCs w:val="20"/>
                <w:color w:val="auto"/>
              </w:rPr>
            </w:pPr>
            <w:r>
              <w:rPr>
                <w:rFonts w:ascii="Arial" w:cs="Arial" w:eastAsia="Arial" w:hAnsi="Arial"/>
                <w:sz w:val="11"/>
                <w:szCs w:val="11"/>
                <w:b w:val="1"/>
                <w:bCs w:val="1"/>
                <w:color w:val="auto"/>
              </w:rPr>
              <w:t>Disposed Of (D) (Instr. 3, 4 and 5)  Securities</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gridSpan w:val="8"/>
          </w:tcPr>
          <w:p>
            <w:pPr>
              <w:ind w:left="80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99"/>
              </w:rPr>
              <w:t>Reported</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88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460" w:type="dxa"/>
            <w:vAlign w:val="bottom"/>
            <w:gridSpan w:val="2"/>
          </w:tcPr>
          <w:p>
            <w:pPr>
              <w:ind w:left="40"/>
              <w:spacing w:after="0"/>
              <w:rPr>
                <w:sz w:val="20"/>
                <w:szCs w:val="20"/>
                <w:color w:val="auto"/>
              </w:rPr>
            </w:pPr>
            <w:r>
              <w:rPr>
                <w:rFonts w:ascii="Arial" w:cs="Arial" w:eastAsia="Arial" w:hAnsi="Arial"/>
                <w:sz w:val="11"/>
                <w:szCs w:val="11"/>
                <w:b w:val="1"/>
                <w:bCs w:val="1"/>
                <w:color w:val="auto"/>
              </w:rPr>
              <w:t>(A) or</w:t>
            </w:r>
          </w:p>
        </w:tc>
        <w:tc>
          <w:tcPr>
            <w:tcW w:w="4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200" w:type="dxa"/>
            <w:vAlign w:val="bottom"/>
            <w:vMerge w:val="restart"/>
          </w:tcPr>
          <w:p>
            <w:pPr>
              <w:ind w:left="40"/>
              <w:spacing w:after="0"/>
              <w:rPr>
                <w:sz w:val="20"/>
                <w:szCs w:val="20"/>
                <w:color w:val="auto"/>
              </w:rPr>
            </w:pPr>
            <w:r>
              <w:rPr>
                <w:rFonts w:ascii="Arial" w:cs="Arial" w:eastAsia="Arial" w:hAnsi="Arial"/>
                <w:sz w:val="11"/>
                <w:szCs w:val="11"/>
                <w:b w:val="1"/>
                <w:bCs w:val="1"/>
                <w:color w:val="auto"/>
                <w:w w:val="91"/>
              </w:rPr>
              <w:t>(D)</w:t>
            </w:r>
          </w:p>
        </w:tc>
        <w:tc>
          <w:tcPr>
            <w:tcW w:w="26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gridSpan w:val="4"/>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740" w:type="dxa"/>
            <w:vAlign w:val="bottom"/>
            <w:tcBorders>
              <w:bottom w:val="single" w:sz="8" w:color="2C2C2C"/>
            </w:tcBorders>
            <w:gridSpan w:val="12"/>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20"/>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380" w:type="dxa"/>
            <w:vAlign w:val="bottom"/>
            <w:gridSpan w:val="18"/>
          </w:tcPr>
          <w:p>
            <w:pPr>
              <w:ind w:left="7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400" w:type="dxa"/>
            <w:vAlign w:val="bottom"/>
            <w:tcBorders>
              <w:bottom w:val="single" w:sz="8" w:color="2C2C2C"/>
            </w:tcBorders>
            <w:gridSpan w:val="5"/>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5"/>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0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6"/>
          </w:tcPr>
          <w:p>
            <w:pPr>
              <w:ind w:left="4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400" w:type="dxa"/>
            <w:vAlign w:val="bottom"/>
          </w:tcPr>
          <w:p>
            <w:pPr>
              <w:spacing w:after="0"/>
              <w:rPr>
                <w:sz w:val="11"/>
                <w:szCs w:val="11"/>
                <w:color w:val="auto"/>
              </w:rPr>
            </w:pPr>
          </w:p>
        </w:tc>
        <w:tc>
          <w:tcPr>
            <w:tcW w:w="1400" w:type="dxa"/>
            <w:vAlign w:val="bottom"/>
            <w:gridSpan w:val="5"/>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840" w:type="dxa"/>
            <w:vAlign w:val="bottom"/>
            <w:tcBorders>
              <w:right w:val="single" w:sz="8" w:color="2C2C2C"/>
            </w:tcBorders>
            <w:gridSpan w:val="3"/>
          </w:tcPr>
          <w:p>
            <w:pPr>
              <w:ind w:left="10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6"/>
          </w:tcPr>
          <w:p>
            <w:pPr>
              <w:ind w:left="4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spacing w:after="0"/>
              <w:rPr>
                <w:sz w:val="11"/>
                <w:szCs w:val="11"/>
                <w:color w:val="auto"/>
              </w:rPr>
            </w:pPr>
          </w:p>
        </w:tc>
        <w:tc>
          <w:tcPr>
            <w:tcW w:w="1400" w:type="dxa"/>
            <w:vAlign w:val="bottom"/>
            <w:gridSpan w:val="5"/>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4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Acquired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Disposed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of (D)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(Instr. 3, 4</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Amount or</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Number 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6"/>
          </w:tcPr>
          <w:p>
            <w:pPr>
              <w:ind w:left="4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3"/>
                <w:szCs w:val="13"/>
                <w:color w:val="auto"/>
              </w:rPr>
            </w:pPr>
          </w:p>
        </w:tc>
        <w:tc>
          <w:tcPr>
            <w:tcW w:w="72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6"/>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(2)</w:t>
            </w:r>
          </w:p>
        </w:tc>
        <w:tc>
          <w:tcPr>
            <w:tcW w:w="700" w:type="dxa"/>
            <w:vAlign w:val="bottom"/>
            <w:vMerge w:val="restart"/>
          </w:tcPr>
          <w:p>
            <w:pPr>
              <w:jc w:val="right"/>
              <w:ind w:right="383"/>
              <w:spacing w:after="0"/>
              <w:rPr>
                <w:sz w:val="20"/>
                <w:szCs w:val="20"/>
                <w:color w:val="auto"/>
              </w:rPr>
            </w:pP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(2)</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551,509</w:t>
            </w:r>
            <w:r>
              <w:rPr>
                <w:rFonts w:ascii="Times New Roman" w:cs="Times New Roman" w:eastAsia="Times New Roman" w:hAnsi="Times New Roman"/>
                <w:sz w:val="21"/>
                <w:szCs w:val="21"/>
                <w:color w:val="008000"/>
                <w:vertAlign w:val="superscript"/>
              </w:rPr>
              <w:t>(3)</w:t>
            </w:r>
          </w:p>
        </w:tc>
        <w:tc>
          <w:tcPr>
            <w:tcW w:w="740" w:type="dxa"/>
            <w:vAlign w:val="bottom"/>
            <w:gridSpan w:val="2"/>
            <w:vMerge w:val="restart"/>
          </w:tcPr>
          <w:p>
            <w:pPr>
              <w:ind w:left="22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(2)</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Borders>
              <w:right w:val="single" w:sz="8" w:color="2C2C2C"/>
            </w:tcBorders>
            <w:gridSpan w:val="3"/>
            <w:vMerge w:val="restart"/>
          </w:tcPr>
          <w:p>
            <w:pPr>
              <w:ind w:left="100"/>
              <w:spacing w:after="0"/>
              <w:rPr>
                <w:sz w:val="20"/>
                <w:szCs w:val="20"/>
                <w:color w:val="auto"/>
              </w:rPr>
            </w:pPr>
            <w:r>
              <w:rPr>
                <w:rFonts w:ascii="Times New Roman" w:cs="Times New Roman" w:eastAsia="Times New Roman" w:hAnsi="Times New Roman"/>
                <w:sz w:val="25"/>
                <w:szCs w:val="25"/>
                <w:color w:val="0000FF"/>
                <w:w w:val="93"/>
                <w:vertAlign w:val="superscript"/>
              </w:rPr>
              <w:t>See</w:t>
            </w:r>
            <w:r>
              <w:rPr>
                <w:rFonts w:ascii="Times New Roman" w:cs="Times New Roman" w:eastAsia="Times New Roman" w:hAnsi="Times New Roman"/>
                <w:sz w:val="11"/>
                <w:szCs w:val="11"/>
                <w:color w:val="008000"/>
                <w:w w:val="93"/>
              </w:rPr>
              <w:t>(4)(5)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Preferred</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06/30/2026</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6"/>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02/26/2025</w:t>
            </w:r>
          </w:p>
        </w:tc>
        <w:tc>
          <w:tcPr>
            <w:tcW w:w="280" w:type="dxa"/>
            <w:vAlign w:val="bottom"/>
          </w:tcPr>
          <w:p>
            <w:pPr>
              <w:spacing w:after="0"/>
              <w:rPr>
                <w:sz w:val="14"/>
                <w:szCs w:val="14"/>
                <w:color w:val="auto"/>
              </w:rPr>
            </w:pPr>
          </w:p>
        </w:tc>
        <w:tc>
          <w:tcPr>
            <w:tcW w:w="4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w w:val="77"/>
              </w:rPr>
              <w:t>(1)</w:t>
            </w:r>
          </w:p>
        </w:tc>
        <w:tc>
          <w:tcPr>
            <w:tcW w:w="68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3"/>
                <w:szCs w:val="13"/>
                <w:color w:val="0000FF"/>
                <w:w w:val="94"/>
              </w:rPr>
              <w:t>160,000</w:t>
            </w:r>
          </w:p>
        </w:tc>
        <w:tc>
          <w:tcPr>
            <w:tcW w:w="240" w:type="dxa"/>
            <w:vAlign w:val="bottom"/>
          </w:tcPr>
          <w:p>
            <w:pPr>
              <w:spacing w:after="0"/>
              <w:rPr>
                <w:sz w:val="14"/>
                <w:szCs w:val="14"/>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Borders>
              <w:right w:val="single" w:sz="8" w:color="2C2C2C"/>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vMerge w:val="restart"/>
          </w:tcPr>
          <w:p>
            <w:pPr>
              <w:ind w:left="60"/>
              <w:spacing w:after="0" w:line="203"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Borders>
              <w:right w:val="single" w:sz="8" w:color="2C2C2C"/>
            </w:tcBorders>
            <w:gridSpan w:val="3"/>
            <w:vMerge w:val="restart"/>
          </w:tcPr>
          <w:p>
            <w:pPr>
              <w:ind w:left="100"/>
              <w:spacing w:after="0"/>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3"/>
            <w:vMerge w:val="continue"/>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9"/>
          </w:tcPr>
          <w:p>
            <w:pPr>
              <w:ind w:left="60"/>
              <w:spacing w:after="0" w:line="22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4"/>
          </w:tcPr>
          <w:p>
            <w:pPr>
              <w:spacing w:after="0" w:line="215"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LIF AIV 1, L.P.</w:t>
              </w:r>
            </w:hyperlink>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6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4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900 NORTH MICHIGAN AVENUE</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SUITE 1100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CHICAGO</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IL</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60611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280" w:type="dxa"/>
            <w:vAlign w:val="bottom"/>
            <w:tcBorders>
              <w:bottom w:val="single" w:sz="8" w:color="2C2C2C"/>
            </w:tcBorders>
            <w:gridSpan w:val="3"/>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gridSpan w:val="9"/>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7"/>
          </w:tcPr>
          <w:p>
            <w:pPr>
              <w:spacing w:after="0" w:line="215"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Labor Impact Fund, L.P.</w:t>
              </w:r>
            </w:hyperlink>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6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4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900 NORTH MICHIGAN AVENUE</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SUITE 1100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CHICAGO</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IL</w:t>
            </w:r>
          </w:p>
        </w:tc>
        <w:tc>
          <w:tcPr>
            <w:tcW w:w="104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60611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gridSpan w:val="2"/>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280" w:type="dxa"/>
            <w:vAlign w:val="bottom"/>
            <w:tcBorders>
              <w:bottom w:val="single" w:sz="8" w:color="2C2C2C"/>
            </w:tcBorders>
            <w:gridSpan w:val="3"/>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40" w:type="dxa"/>
            <w:vAlign w:val="bottom"/>
            <w:gridSpan w:val="9"/>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7"/>
          </w:tcPr>
          <w:p>
            <w:pPr>
              <w:spacing w:after="0" w:line="215"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GCM Investments GP, LLC</w:t>
              </w:r>
            </w:hyperlink>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6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-5935980</wp:posOffset>
            </wp:positionV>
            <wp:extent cx="28575" cy="1918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575" cy="1918970"/>
                    </a:xfrm>
                    <a:prstGeom prst="rect">
                      <a:avLst/>
                    </a:prstGeom>
                    <a:noFill/>
                  </pic:spPr>
                </pic:pic>
              </a:graphicData>
            </a:graphic>
          </wp:anchor>
        </w:drawing>
      </w:r>
    </w:p>
    <w:p>
      <w:pPr>
        <w:sectPr>
          <w:pgSz w:w="11900" w:h="16856" w:orient="portrait"/>
          <w:cols w:equalWidth="0" w:num="1">
            <w:col w:w="11080"/>
          </w:cols>
          <w:pgMar w:left="460" w:top="216" w:right="359" w:bottom="0" w:gutter="0" w:footer="0" w:header="0"/>
          <w:type w:val="continuous"/>
        </w:sectPr>
      </w:pP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900 NORTH MICHIGAN AVENUE</w:t>
      </w:r>
    </w:p>
    <w:p>
      <w:pPr>
        <w:sectPr>
          <w:pgSz w:w="11900" w:h="16856" w:orient="portrait"/>
          <w:cols w:equalWidth="0" w:num="1">
            <w:col w:w="11080"/>
          </w:cols>
          <w:pgMar w:left="460" w:top="216"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page">
              <wp:posOffset>280670</wp:posOffset>
            </wp:positionH>
            <wp:positionV relativeFrom="page">
              <wp:posOffset>88900</wp:posOffset>
            </wp:positionV>
            <wp:extent cx="2813685" cy="9424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13685" cy="9424670"/>
                    </a:xfrm>
                    <a:prstGeom prst="rect">
                      <a:avLst/>
                    </a:prstGeom>
                    <a:noFill/>
                  </pic:spPr>
                </pic:pic>
              </a:graphicData>
            </a:graphic>
          </wp:anchor>
        </w:drawing>
        <w:t>SUITE 1100</w:t>
      </w:r>
    </w:p>
    <w:p>
      <w:pPr>
        <w:spacing w:after="0" w:line="286"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CHICAGO</w:t>
            </w:r>
          </w:p>
        </w:tc>
        <w:tc>
          <w:tcPr>
            <w:tcW w:w="12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IL</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60611</w:t>
            </w:r>
          </w:p>
        </w:tc>
      </w:tr>
      <w:tr>
        <w:trPr>
          <w:trHeight w:val="146"/>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40"/>
              <w:spacing w:after="0"/>
              <w:rPr>
                <w:sz w:val="20"/>
                <w:szCs w:val="20"/>
                <w:color w:val="auto"/>
              </w:rPr>
            </w:pPr>
            <w:r>
              <w:rPr>
                <w:rFonts w:ascii="Arial" w:cs="Arial" w:eastAsia="Arial" w:hAnsi="Arial"/>
                <w:sz w:val="13"/>
                <w:szCs w:val="13"/>
                <w:color w:val="auto"/>
              </w:rPr>
              <w:t>(State)</w:t>
            </w:r>
          </w:p>
        </w:tc>
        <w:tc>
          <w:tcPr>
            <w:tcW w:w="190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1"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Grosvenor Capital Management Holdings, LLLP</w:t>
        </w:r>
      </w:hyperlink>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60" w:type="dxa"/>
            <w:vAlign w:val="bottom"/>
            <w:gridSpan w:val="4"/>
          </w:tcPr>
          <w:p>
            <w:pPr>
              <w:ind w:left="14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900 NORTH MICHIGAN AVENUE</w:t>
            </w: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SUITE 1100</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6"/>
        </w:trPr>
        <w:tc>
          <w:tcPr>
            <w:tcW w:w="13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CHICAGO</w:t>
            </w:r>
          </w:p>
        </w:tc>
        <w:tc>
          <w:tcPr>
            <w:tcW w:w="14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0000FF"/>
              </w:rPr>
              <w:t>IL</w:t>
            </w:r>
          </w:p>
        </w:tc>
        <w:tc>
          <w:tcPr>
            <w:tcW w:w="14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60611</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60" w:type="dxa"/>
            <w:vAlign w:val="bottom"/>
            <w:gridSpan w:val="4"/>
          </w:tcPr>
          <w:p>
            <w:pPr>
              <w:ind w:left="14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gridSpan w:val="6"/>
          </w:tcPr>
          <w:p>
            <w:pPr>
              <w:spacing w:after="0" w:line="215"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GCM Grosvenor Holdings, LLC</w:t>
              </w:r>
            </w:hyperlink>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92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60" w:type="dxa"/>
            <w:vAlign w:val="bottom"/>
            <w:gridSpan w:val="4"/>
          </w:tcPr>
          <w:p>
            <w:pPr>
              <w:ind w:left="14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900 NORTH MICHIGAN AVENUE</w:t>
            </w: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SUITE 1100</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6"/>
        </w:trPr>
        <w:tc>
          <w:tcPr>
            <w:tcW w:w="13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CHICAGO</w:t>
            </w:r>
          </w:p>
        </w:tc>
        <w:tc>
          <w:tcPr>
            <w:tcW w:w="14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0000FF"/>
              </w:rPr>
              <w:t>IL</w:t>
            </w:r>
          </w:p>
        </w:tc>
        <w:tc>
          <w:tcPr>
            <w:tcW w:w="14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60611</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60" w:type="dxa"/>
            <w:vAlign w:val="bottom"/>
            <w:gridSpan w:val="4"/>
          </w:tcPr>
          <w:p>
            <w:pPr>
              <w:ind w:left="14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gridSpan w:val="6"/>
          </w:tcPr>
          <w:p>
            <w:pPr>
              <w:spacing w:after="0" w:line="215" w:lineRule="exact"/>
              <w:rPr>
                <w:rFonts w:ascii="Times New Roman" w:cs="Times New Roman" w:eastAsia="Times New Roman" w:hAnsi="Times New Roman"/>
                <w:sz w:val="20"/>
                <w:szCs w:val="20"/>
                <w:color w:val="0000EE"/>
              </w:rPr>
            </w:pPr>
            <w:hyperlink r:id="rId21">
              <w:r>
                <w:rPr>
                  <w:rFonts w:ascii="Times New Roman" w:cs="Times New Roman" w:eastAsia="Times New Roman" w:hAnsi="Times New Roman"/>
                  <w:sz w:val="20"/>
                  <w:szCs w:val="20"/>
                  <w:color w:val="0000EE"/>
                </w:rPr>
                <w:t>GCM Grosvenor Inc.</w:t>
              </w:r>
            </w:hyperlink>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60" w:type="dxa"/>
            <w:vAlign w:val="bottom"/>
            <w:gridSpan w:val="4"/>
          </w:tcPr>
          <w:p>
            <w:pPr>
              <w:ind w:left="14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900 NORTH MICHIGAN AVENUE</w:t>
            </w: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SUITE 1100</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6"/>
        </w:trPr>
        <w:tc>
          <w:tcPr>
            <w:tcW w:w="13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CHICAGO</w:t>
            </w:r>
          </w:p>
        </w:tc>
        <w:tc>
          <w:tcPr>
            <w:tcW w:w="14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0000FF"/>
              </w:rPr>
              <w:t>IL</w:t>
            </w:r>
          </w:p>
        </w:tc>
        <w:tc>
          <w:tcPr>
            <w:tcW w:w="14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60611</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60" w:type="dxa"/>
            <w:vAlign w:val="bottom"/>
            <w:gridSpan w:val="4"/>
          </w:tcPr>
          <w:p>
            <w:pPr>
              <w:ind w:left="14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spacing w:after="0" w:line="215"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GCM V, LLC</w:t>
              </w:r>
            </w:hyperlink>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60" w:type="dxa"/>
            <w:vAlign w:val="bottom"/>
            <w:gridSpan w:val="4"/>
          </w:tcPr>
          <w:p>
            <w:pPr>
              <w:ind w:left="14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900 NORTH MICHIGAN AVENUE</w:t>
            </w: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SUITE 1100</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6"/>
        </w:trPr>
        <w:tc>
          <w:tcPr>
            <w:tcW w:w="13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CHICAGO</w:t>
            </w:r>
          </w:p>
        </w:tc>
        <w:tc>
          <w:tcPr>
            <w:tcW w:w="14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0000FF"/>
              </w:rPr>
              <w:t>IL</w:t>
            </w:r>
          </w:p>
        </w:tc>
        <w:tc>
          <w:tcPr>
            <w:tcW w:w="14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60611</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60" w:type="dxa"/>
            <w:vAlign w:val="bottom"/>
            <w:gridSpan w:val="4"/>
          </w:tcPr>
          <w:p>
            <w:pPr>
              <w:ind w:left="14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gridSpan w:val="2"/>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1"/>
        </w:trPr>
        <w:tc>
          <w:tcPr>
            <w:tcW w:w="2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gridSpan w:val="6"/>
          </w:tcPr>
          <w:p>
            <w:pPr>
              <w:spacing w:after="0" w:line="215" w:lineRule="exact"/>
              <w:rPr>
                <w:rFonts w:ascii="Times New Roman" w:cs="Times New Roman" w:eastAsia="Times New Roman" w:hAnsi="Times New Roman"/>
                <w:sz w:val="20"/>
                <w:szCs w:val="20"/>
                <w:color w:val="0000EE"/>
              </w:rPr>
            </w:pPr>
            <w:hyperlink r:id="rId23">
              <w:r>
                <w:rPr>
                  <w:rFonts w:ascii="Times New Roman" w:cs="Times New Roman" w:eastAsia="Times New Roman" w:hAnsi="Times New Roman"/>
                  <w:sz w:val="20"/>
                  <w:szCs w:val="20"/>
                  <w:color w:val="0000EE"/>
                </w:rPr>
                <w:t>Sacks Michael Jay</w:t>
              </w:r>
            </w:hyperlink>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3"/>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(Last)</w:t>
            </w:r>
          </w:p>
        </w:tc>
        <w:tc>
          <w:tcPr>
            <w:tcW w:w="1460" w:type="dxa"/>
            <w:vAlign w:val="bottom"/>
            <w:gridSpan w:val="4"/>
          </w:tcPr>
          <w:p>
            <w:pPr>
              <w:ind w:left="14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900 NORTH MICHIGAN AVENUE</w:t>
            </w: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SUITE 1100</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56"/>
        </w:trPr>
        <w:tc>
          <w:tcPr>
            <w:tcW w:w="13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CHICAGO</w:t>
            </w:r>
          </w:p>
        </w:tc>
        <w:tc>
          <w:tcPr>
            <w:tcW w:w="146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0000FF"/>
              </w:rPr>
              <w:t>IL</w:t>
            </w:r>
          </w:p>
        </w:tc>
        <w:tc>
          <w:tcPr>
            <w:tcW w:w="14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60611</w:t>
            </w:r>
          </w:p>
        </w:tc>
        <w:tc>
          <w:tcPr>
            <w:tcW w:w="8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(City)</w:t>
            </w:r>
          </w:p>
        </w:tc>
        <w:tc>
          <w:tcPr>
            <w:tcW w:w="1460" w:type="dxa"/>
            <w:vAlign w:val="bottom"/>
            <w:gridSpan w:val="4"/>
          </w:tcPr>
          <w:p>
            <w:pPr>
              <w:ind w:left="14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20" w:right="180"/>
        <w:spacing w:after="0" w:line="234"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Series B Convertible Junior Preferred Stock (the "Series B Preferred Stock") of FTAI Infrastructure Inc. (the "Issuer") held by LIF AIV 1, L.P. ("LIF AIV") and Labor Impact Fund, L.P. ("Labor Impact Fund"). Each share of Series B Preferred Stock is convertible at any time at the option of the holder into a number of shares of common stock, par value $0.01 per share ("Common Stock"), of the Issuer equal to the quotient of the Liquidation Value (as defined in the Certificate of Designations governing the Series B Preferred Stock) in effect at the time of conversion divided by the Conversion Price (each as defined in the Certificate of Designations governing the Series B Preferred Stock).</w:t>
      </w:r>
    </w:p>
    <w:p>
      <w:pPr>
        <w:spacing w:after="0" w:line="26" w:lineRule="exact"/>
        <w:rPr>
          <w:rFonts w:ascii="Times New Roman" w:cs="Times New Roman" w:eastAsia="Times New Roman" w:hAnsi="Times New Roman"/>
          <w:sz w:val="13"/>
          <w:szCs w:val="13"/>
          <w:color w:val="008000"/>
        </w:rPr>
      </w:pPr>
    </w:p>
    <w:p>
      <w:pPr>
        <w:ind w:left="20"/>
        <w:spacing w:after="0" w:line="237" w:lineRule="auto"/>
        <w:tabs>
          <w:tab w:leader="none" w:pos="14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LIF AIV and Labor Impact Fund received a dividend on 160,000 shares of Series B Preferred Stock owned by LIF AIV and Labor Impact Fund on the dividend record date by way of an increase in the Stated Value of such Series B Preferred Stock. Such dividend represents a quarterly compounding regular dividend equal to 10% per annum with respect to the immediately preceding quarter in accordance with the terms of the Certificate of Designations governing the Series B Preferred Stock.</w:t>
      </w:r>
    </w:p>
    <w:p>
      <w:pPr>
        <w:spacing w:after="0" w:line="26" w:lineRule="exact"/>
        <w:rPr>
          <w:rFonts w:ascii="Times New Roman" w:cs="Times New Roman" w:eastAsia="Times New Roman" w:hAnsi="Times New Roman"/>
          <w:sz w:val="13"/>
          <w:szCs w:val="13"/>
          <w:color w:val="008000"/>
        </w:rPr>
      </w:pPr>
    </w:p>
    <w:p>
      <w:pPr>
        <w:ind w:left="20" w:right="20"/>
        <w:spacing w:after="0" w:line="289" w:lineRule="auto"/>
        <w:tabs>
          <w:tab w:leader="none" w:pos="14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additional number of shares of Common Stock into which the Series B Preferred Stock owned by LIF AIV and Labor Impact Fund is convertible as a result of the dividend. As of the date hereof, the Series B Preferred Stock owned in the aggregate by LIF AIV and Labor Impact Fund is convertible into a total of 22,369,436 shares of Common Stock; provided that the number of shares of Common Stock</w:t>
      </w:r>
    </w:p>
    <w:p>
      <w:pPr>
        <w:sectPr>
          <w:pgSz w:w="11900" w:h="16838" w:orient="portrait"/>
          <w:cols w:equalWidth="0" w:num="1">
            <w:col w:w="10820"/>
          </w:cols>
          <w:pgMar w:left="480" w:top="152" w:right="599" w:bottom="0" w:gutter="0" w:footer="0" w:header="0"/>
        </w:sectPr>
      </w:pPr>
    </w:p>
    <w:bookmarkStart w:id="2" w:name="page3"/>
    <w:bookmarkEnd w:id="2"/>
    <w:p>
      <w:pPr>
        <w:spacing w:after="0" w:line="249" w:lineRule="auto"/>
        <w:rPr>
          <w:sz w:val="20"/>
          <w:szCs w:val="20"/>
          <w:color w:val="auto"/>
        </w:rPr>
      </w:pPr>
      <w:r>
        <w:rPr>
          <w:rFonts w:ascii="Times New Roman" w:cs="Times New Roman" w:eastAsia="Times New Roman" w:hAnsi="Times New Roman"/>
          <w:sz w:val="13"/>
          <w:szCs w:val="13"/>
          <w:color w:val="008000"/>
        </w:rPr>
        <w:t>deliverable upon conversion of the Series B Preferred Stock shall not cause the aggregate number of shares of Common Stock issued upon the conversion of the Series B Preferred Stock to exceed 22,237,370 shares unless the Issuer obtains stockholder approval, subject to limited exceptions.</w:t>
      </w:r>
    </w:p>
    <w:p>
      <w:pPr>
        <w:spacing w:after="0" w:line="20" w:lineRule="exact"/>
        <w:rPr>
          <w:sz w:val="20"/>
          <w:szCs w:val="20"/>
          <w:color w:val="auto"/>
        </w:rPr>
      </w:pPr>
    </w:p>
    <w:p>
      <w:pPr>
        <w:jc w:val="both"/>
        <w:ind w:right="100"/>
        <w:spacing w:after="0" w:line="250"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of Series B Preferred Stock reported herein are held directly by LIF AIV and Labor Impact Fund, and indirectly by: (i) GCM Investments GP, LLC ("GCM GP") as the general partner of each of LIF AIV and Labor Impact Fund; (ii) Grosvenor Capital Management Holdings, LLLP ("Grosvenor Capital Holdings") as the sole member of GCM GP; (iii) GCM Grosvenor Holdings, LLC ("GCM Holdings") as the general partner of Grosvenor Capital Holdings; (iv) GCM Grosvenor Inc. ("GCM Grosvenor") as the sole member of GCM Holdings; (v) GCM V, LLC ("GCM V") as a shareholder of GCM Grosvenor; and (vi)</w:t>
      </w:r>
    </w:p>
    <w:p>
      <w:pPr>
        <w:spacing w:after="0" w:line="1" w:lineRule="exact"/>
        <w:rPr>
          <w:rFonts w:ascii="Times New Roman" w:cs="Times New Roman" w:eastAsia="Times New Roman" w:hAnsi="Times New Roman"/>
          <w:sz w:val="12"/>
          <w:szCs w:val="12"/>
          <w:color w:val="008000"/>
        </w:rPr>
      </w:pPr>
    </w:p>
    <w:p>
      <w:pPr>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Michael J. Sacks, as the manager of GCM V (collectively, the "Reporting Persons").</w:t>
      </w:r>
    </w:p>
    <w:p>
      <w:pPr>
        <w:spacing w:after="0" w:line="26" w:lineRule="exact"/>
        <w:rPr>
          <w:rFonts w:ascii="Times New Roman" w:cs="Times New Roman" w:eastAsia="Times New Roman" w:hAnsi="Times New Roman"/>
          <w:sz w:val="12"/>
          <w:szCs w:val="12"/>
          <w:color w:val="008000"/>
        </w:rPr>
      </w:pPr>
    </w:p>
    <w:p>
      <w:pPr>
        <w:ind w:right="180"/>
        <w:spacing w:after="0" w:line="249"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shares of Common Stock underlying the Series B Preferred Stock except to the extent of its or his pecuniary interest therein, and this report shall not be deemed to be an admission that any Reporting Person is the beneficial owner of such securities for purposes of Section 16 or for any other purpose.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0"/>
          <w:szCs w:val="20"/>
          <w:color w:val="auto"/>
        </w:rPr>
      </w:pPr>
    </w:p>
    <w:p>
      <w:pPr>
        <w:ind w:right="420"/>
        <w:spacing w:after="0" w:line="249" w:lineRule="auto"/>
        <w:rPr>
          <w:sz w:val="20"/>
          <w:szCs w:val="20"/>
          <w:color w:val="auto"/>
        </w:rPr>
      </w:pPr>
      <w:r>
        <w:rPr>
          <w:rFonts w:ascii="Times New Roman" w:cs="Times New Roman" w:eastAsia="Times New Roman" w:hAnsi="Times New Roman"/>
          <w:sz w:val="13"/>
          <w:szCs w:val="13"/>
          <w:color w:val="008000"/>
        </w:rPr>
        <w:t>The Reporting Persons may be deemed to be directors by deputization for purposes of Section 16 under the Securities Exchange Act of 1934 by virtue of the fact that Matthew Rinklin, an employee of GCM Grosvenor L.P., an affiliate of the Reporting Persons, currently serves on the board of directors of the Issuer.</w:t>
      </w:r>
    </w:p>
    <w:p>
      <w:pPr>
        <w:sectPr>
          <w:pgSz w:w="11900" w:h="16838" w:orient="portrait"/>
          <w:cols w:equalWidth="0" w:num="1">
            <w:col w:w="10880"/>
          </w:cols>
          <w:pgMar w:left="500" w:top="127" w:right="519" w:bottom="144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LIF AIV 1, L.P., By: GCM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-3175</wp:posOffset>
            </wp:positionV>
            <wp:extent cx="1132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Investments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10560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general partner, By: /s/ Burke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1330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Montgomery,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10636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636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407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40703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Labor Impact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-3175</wp:posOffset>
            </wp:positionV>
            <wp:extent cx="12280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GCM Investments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132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general partner, By: /s/ Burke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1330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Montgomery,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10636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636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4070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40703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GCM Investments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-3175</wp:posOffset>
            </wp:positionV>
            <wp:extent cx="1195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19570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By: /s/ Burke J.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12446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9048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9048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Grosvenor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-3175</wp:posOffset>
            </wp:positionV>
            <wp:extent cx="13436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Holdings, LLLP, By: GCM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1143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1436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Grosvenor Holdings,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1254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general partner, By: /s/ Burke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13309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Montgomery,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1063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0636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4070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40703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GCM Grosvenor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-3175</wp:posOffset>
            </wp:positionV>
            <wp:extent cx="11436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4363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LLC, By: /s/ Burke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902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9023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Montgomery,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10636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0636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4070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40703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GCM Grosvenor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-3175</wp:posOffset>
            </wp:positionV>
            <wp:extent cx="12223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Burke J.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9417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9048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9048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GCM V, LLC, By: /s/ Burke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-3175</wp:posOffset>
            </wp:positionV>
            <wp:extent cx="12814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28143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Montgomery,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10636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0636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-10795</wp:posOffset>
            </wp:positionV>
            <wp:extent cx="4070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407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768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768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768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768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768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768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4768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66" w:lineRule="exact"/>
        <w:rPr>
          <w:sz w:val="20"/>
          <w:szCs w:val="20"/>
          <w:color w:val="auto"/>
        </w:rPr>
      </w:pPr>
    </w:p>
    <w:p>
      <w:pPr>
        <w:sectPr>
          <w:pgSz w:w="11900" w:h="16838" w:orient="portrait"/>
          <w:cols w:equalWidth="0" w:num="2">
            <w:col w:w="8680" w:space="80"/>
            <w:col w:w="2120"/>
          </w:cols>
          <w:pgMar w:left="500" w:top="127" w:right="519" w:bottom="1440" w:gutter="0" w:footer="0" w:header="0"/>
          <w:type w:val="continuous"/>
        </w:sectPr>
      </w:pPr>
    </w:p>
    <w:tbl>
      <w:tblPr>
        <w:tblLayout w:type="fixed"/>
        <w:tblInd w:w="6560" w:type="dxa"/>
        <w:tblCellMar>
          <w:top w:w="0" w:type="dxa"/>
          <w:left w:w="0" w:type="dxa"/>
          <w:bottom w:w="0" w:type="dxa"/>
          <w:right w:w="0" w:type="dxa"/>
        </w:tblCellMar>
      </w:tblPr>
      <w:tr>
        <w:trPr>
          <w:trHeight w:val="184"/>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/s/ Michael J. Sacks</w:t>
            </w:r>
          </w:p>
        </w:tc>
        <w:tc>
          <w:tcPr>
            <w:tcW w:w="88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07/02/2026</w:t>
            </w: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6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13" Type="http://schemas.openxmlformats.org/officeDocument/2006/relationships/hyperlink" Target="http://www.sec.gov/cgi-bin/browse-edgar?action=getcompany&amp;CIK=0002023029" TargetMode="External"/><Relationship Id="rId14" Type="http://schemas.openxmlformats.org/officeDocument/2006/relationships/hyperlink" Target="http://www.sec.gov/cgi-bin/browse-edgar?action=getcompany&amp;CIK=0001899883" TargetMode="External"/><Relationship Id="rId15" Type="http://schemas.openxmlformats.org/officeDocument/2006/relationships/hyperlink" Target="http://www.sec.gov/cgi-bin/browse-edgar?action=getcompany&amp;CIK=0001751369" TargetMode="External"/><Relationship Id="rId16" Type="http://schemas.openxmlformats.org/officeDocument/2006/relationships/hyperlink" Target="http://www.sec.gov/cgi-bin/browse-edgar?action=getcompany&amp;CIK=0001743984" TargetMode="External"/><Relationship Id="rId19" Type="http://schemas.openxmlformats.org/officeDocument/2006/relationships/hyperlink" Target="http://www.sec.gov/cgi-bin/browse-edgar?action=getcompany&amp;CIK=0001743986" TargetMode="External"/><Relationship Id="rId20" Type="http://schemas.openxmlformats.org/officeDocument/2006/relationships/hyperlink" Target="http://www.sec.gov/cgi-bin/browse-edgar?action=getcompany&amp;CIK=0001939480" TargetMode="External"/><Relationship Id="rId21" Type="http://schemas.openxmlformats.org/officeDocument/2006/relationships/hyperlink" Target="http://www.sec.gov/cgi-bin/browse-edgar?action=getcompany&amp;CIK=0001819796" TargetMode="External"/><Relationship Id="rId22" Type="http://schemas.openxmlformats.org/officeDocument/2006/relationships/hyperlink" Target="http://www.sec.gov/cgi-bin/browse-edgar?action=getcompany&amp;CIK=0001831172" TargetMode="External"/><Relationship Id="rId23" Type="http://schemas.openxmlformats.org/officeDocument/2006/relationships/hyperlink" Target="http://www.sec.gov/cgi-bin/browse-edgar?action=getcompany&amp;CIK=00015097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2026-07-02T16:06:28Z</dcterms:created>
  <dcterms:modified xsi:type="dcterms:W3CDTF">2026-07-02T16:06:28Z</dcterms:modified>
</cp:coreProperties>
</file>